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5520" w:firstLineChars="2300"/>
        <w:rPr>
          <w:rFonts w:ascii="Arial" w:hAnsi="Arial" w:eastAsia="黑体" w:cs="Arial"/>
          <w:sz w:val="24"/>
          <w:u w:val="single"/>
        </w:rPr>
      </w:pPr>
      <w:r>
        <w:rPr>
          <w:rFonts w:ascii="Arial" w:hAnsi="Arial" w:eastAsia="黑体" w:cs="Arial"/>
          <w:sz w:val="24"/>
        </w:rPr>
        <w:t>合同编号：</w:t>
      </w:r>
      <w:r>
        <w:rPr>
          <w:rFonts w:ascii="Arial" w:hAnsi="Arial" w:eastAsia="黑体" w:cs="Arial"/>
          <w:sz w:val="24"/>
          <w:u w:val="single"/>
        </w:rPr>
        <w:t>　　　　　　　　　</w:t>
      </w:r>
    </w:p>
    <w:p>
      <w:pPr>
        <w:rPr>
          <w:rFonts w:ascii="宋体" w:hAnsi="宋体"/>
          <w:sz w:val="24"/>
        </w:rPr>
      </w:pPr>
    </w:p>
    <w:p>
      <w:pPr>
        <w:rPr>
          <w:rFonts w:ascii="宋体" w:hAnsi="宋体"/>
          <w:sz w:val="24"/>
        </w:rPr>
      </w:pPr>
    </w:p>
    <w:p>
      <w:pPr>
        <w:rPr>
          <w:rFonts w:ascii="宋体" w:hAnsi="宋体"/>
          <w:sz w:val="24"/>
        </w:rPr>
      </w:pPr>
      <w:bookmarkStart w:id="0" w:name="_GoBack"/>
      <w:bookmarkEnd w:id="0"/>
    </w:p>
    <w:p>
      <w:pPr>
        <w:rPr>
          <w:rFonts w:ascii="宋体" w:hAnsi="宋体"/>
          <w:sz w:val="24"/>
        </w:rPr>
      </w:pPr>
    </w:p>
    <w:p>
      <w:pPr>
        <w:jc w:val="center"/>
        <w:rPr>
          <w:rFonts w:ascii="黑体" w:hAnsi="黑体" w:eastAsia="黑体"/>
          <w:b/>
          <w:bCs/>
          <w:sz w:val="52"/>
          <w:szCs w:val="52"/>
        </w:rPr>
      </w:pPr>
      <w:r>
        <w:rPr>
          <w:rFonts w:hint="eastAsia" w:ascii="黑体" w:hAnsi="黑体" w:eastAsia="黑体"/>
          <w:b/>
          <w:bCs/>
          <w:sz w:val="52"/>
          <w:szCs w:val="52"/>
        </w:rPr>
        <w:t>管理体系认证合同</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b/>
          <w:sz w:val="30"/>
          <w:szCs w:val="30"/>
        </w:rPr>
      </w:pPr>
      <w:r>
        <w:rPr>
          <w:rFonts w:hint="eastAsia" w:ascii="宋体" w:hAnsi="宋体"/>
          <w:b/>
          <w:sz w:val="30"/>
          <w:szCs w:val="30"/>
        </w:rPr>
        <w:t>认证项目名称      □质量管理体系</w:t>
      </w:r>
    </w:p>
    <w:p>
      <w:pPr>
        <w:ind w:firstLine="2695" w:firstLineChars="895"/>
        <w:rPr>
          <w:rFonts w:ascii="宋体" w:hAnsi="宋体"/>
          <w:b/>
          <w:sz w:val="30"/>
          <w:szCs w:val="30"/>
        </w:rPr>
      </w:pPr>
      <w:r>
        <w:rPr>
          <w:rFonts w:hint="eastAsia" w:ascii="宋体" w:hAnsi="宋体"/>
          <w:b/>
          <w:sz w:val="30"/>
          <w:szCs w:val="30"/>
        </w:rPr>
        <w:t>□环境管理体系</w:t>
      </w:r>
    </w:p>
    <w:p>
      <w:pPr>
        <w:ind w:firstLine="2695" w:firstLineChars="895"/>
        <w:rPr>
          <w:rFonts w:ascii="宋体" w:hAnsi="宋体"/>
          <w:b/>
          <w:sz w:val="30"/>
          <w:szCs w:val="30"/>
        </w:rPr>
      </w:pPr>
      <w:r>
        <w:rPr>
          <w:rFonts w:hint="eastAsia" w:ascii="宋体" w:hAnsi="宋体"/>
          <w:b/>
          <w:sz w:val="30"/>
          <w:szCs w:val="30"/>
        </w:rPr>
        <w:t>□职业健康安全管理体系</w:t>
      </w:r>
    </w:p>
    <w:p>
      <w:pPr>
        <w:ind w:firstLine="2695" w:firstLineChars="895"/>
        <w:rPr>
          <w:rFonts w:ascii="宋体" w:hAnsi="宋体"/>
          <w:b/>
          <w:sz w:val="30"/>
          <w:szCs w:val="30"/>
        </w:rPr>
      </w:pPr>
      <w:r>
        <w:rPr>
          <w:rFonts w:hint="eastAsia" w:ascii="宋体" w:hAnsi="宋体"/>
          <w:b/>
          <w:sz w:val="30"/>
          <w:szCs w:val="30"/>
        </w:rPr>
        <w:t>□GB/T50430工程建设施工企业质量管理体系认证</w:t>
      </w: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32"/>
          <w:szCs w:val="32"/>
        </w:rPr>
      </w:pPr>
      <w:r>
        <w:rPr>
          <w:rFonts w:hint="eastAsia" w:ascii="宋体" w:hAnsi="宋体"/>
          <w:b/>
          <w:bCs/>
          <w:sz w:val="32"/>
          <w:szCs w:val="32"/>
        </w:rPr>
        <w:t>委托方（甲方）</w:t>
      </w:r>
      <w:r>
        <w:rPr>
          <w:rFonts w:hint="eastAsia" w:ascii="宋体" w:hAnsi="宋体"/>
          <w:b/>
          <w:bCs/>
          <w:sz w:val="32"/>
          <w:szCs w:val="32"/>
          <w:u w:val="single"/>
        </w:rPr>
        <w:t xml:space="preserve">                                     </w:t>
      </w:r>
    </w:p>
    <w:p>
      <w:pPr>
        <w:rPr>
          <w:rFonts w:ascii="宋体" w:hAnsi="宋体"/>
          <w:sz w:val="24"/>
        </w:rPr>
      </w:pPr>
    </w:p>
    <w:p>
      <w:pPr>
        <w:rPr>
          <w:rFonts w:ascii="宋体" w:hAnsi="宋体"/>
          <w:b/>
          <w:bCs/>
          <w:sz w:val="32"/>
          <w:szCs w:val="32"/>
          <w:u w:val="single"/>
        </w:rPr>
      </w:pPr>
      <w:r>
        <w:rPr>
          <w:rFonts w:hint="eastAsia" w:ascii="宋体" w:hAnsi="宋体"/>
          <w:b/>
          <w:bCs/>
          <w:sz w:val="32"/>
          <w:szCs w:val="32"/>
        </w:rPr>
        <w:t>审核方（乙方）</w:t>
      </w:r>
      <w:r>
        <w:rPr>
          <w:rFonts w:hint="eastAsia" w:ascii="宋体" w:hAnsi="宋体"/>
          <w:b/>
          <w:bCs/>
          <w:sz w:val="32"/>
          <w:szCs w:val="32"/>
          <w:u w:val="single"/>
        </w:rPr>
        <w:t xml:space="preserve">      万里国际认证有限公司            </w:t>
      </w:r>
    </w:p>
    <w:p>
      <w:pPr>
        <w:rPr>
          <w:rFonts w:ascii="宋体" w:hAnsi="宋体"/>
          <w:sz w:val="32"/>
          <w:szCs w:val="32"/>
        </w:rPr>
      </w:pPr>
    </w:p>
    <w:p>
      <w:pPr>
        <w:rPr>
          <w:rFonts w:ascii="宋体" w:hAnsi="宋体"/>
          <w:sz w:val="32"/>
          <w:szCs w:val="32"/>
        </w:rPr>
      </w:pPr>
    </w:p>
    <w:p>
      <w:pPr>
        <w:tabs>
          <w:tab w:val="left" w:pos="4193"/>
        </w:tabs>
        <w:rPr>
          <w:rFonts w:ascii="宋体" w:hAnsi="宋体"/>
          <w:sz w:val="32"/>
          <w:szCs w:val="32"/>
        </w:rPr>
      </w:pPr>
      <w:r>
        <w:rPr>
          <w:rFonts w:ascii="宋体" w:hAnsi="宋体"/>
          <w:sz w:val="32"/>
          <w:szCs w:val="32"/>
        </w:rPr>
        <w:tab/>
      </w:r>
    </w:p>
    <w:p>
      <w:pPr>
        <w:tabs>
          <w:tab w:val="left" w:pos="4193"/>
        </w:tabs>
        <w:rPr>
          <w:rFonts w:ascii="宋体" w:hAnsi="宋体"/>
          <w:sz w:val="32"/>
          <w:szCs w:val="32"/>
        </w:rPr>
        <w:sectPr>
          <w:headerReference r:id="rId4" w:type="first"/>
          <w:footerReference r:id="rId6" w:type="first"/>
          <w:headerReference r:id="rId3" w:type="default"/>
          <w:footerReference r:id="rId5" w:type="default"/>
          <w:pgSz w:w="11906" w:h="16838"/>
          <w:pgMar w:top="1646" w:right="851" w:bottom="851" w:left="1418" w:header="564" w:footer="567" w:gutter="0"/>
          <w:cols w:space="720" w:num="1"/>
          <w:titlePg/>
          <w:docGrid w:type="lines" w:linePitch="312" w:charSpace="0"/>
        </w:sectPr>
      </w:pPr>
      <w:r>
        <w:rPr>
          <w:rFonts w:ascii="宋体" w:hAnsi="宋体"/>
          <w:sz w:val="32"/>
          <w:szCs w:val="32"/>
        </w:rPr>
        <w:tab/>
      </w:r>
    </w:p>
    <w:p>
      <w:pPr>
        <w:spacing w:before="156" w:beforeLines="50" w:after="156" w:afterLines="50"/>
        <w:ind w:firstLine="482" w:firstLineChars="200"/>
        <w:rPr>
          <w:rFonts w:ascii="黑体" w:hAnsi="黑体" w:eastAsia="黑体"/>
          <w:b/>
          <w:sz w:val="24"/>
        </w:rPr>
      </w:pPr>
      <w:r>
        <w:rPr>
          <w:rFonts w:hint="eastAsia" w:ascii="黑体" w:hAnsi="黑体" w:eastAsia="黑体"/>
          <w:b/>
          <w:bCs/>
          <w:sz w:val="24"/>
        </w:rPr>
        <w:t>依据《中华人民共和国合同法》之规定，甲乙双方就管理体系认证项目，经平等协商，在真实、充分地表达各自意愿的基础上，签订本合同，双方共同遵守履行</w:t>
      </w:r>
      <w:r>
        <w:rPr>
          <w:rFonts w:hint="eastAsia" w:ascii="黑体" w:hAnsi="黑体" w:eastAsia="黑体"/>
          <w:sz w:val="24"/>
        </w:rPr>
        <w:t>。</w:t>
      </w:r>
      <w:r>
        <w:rPr>
          <w:rFonts w:hint="eastAsia" w:ascii="黑体" w:hAnsi="黑体" w:eastAsia="黑体"/>
          <w:b/>
          <w:sz w:val="24"/>
        </w:rPr>
        <w:t>双方确认，在签订本合同之前，已经充分知悉并了解本合同全部定义、条款之内容。</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管理体系认证项目的内容和要求</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甲方向乙方申请以下管理体系认证：</w:t>
      </w:r>
    </w:p>
    <w:p>
      <w:pPr>
        <w:tabs>
          <w:tab w:val="left" w:pos="360"/>
        </w:tabs>
        <w:spacing w:before="78" w:beforeLines="25" w:after="78" w:afterLines="25"/>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□质量管理体系          □环境管理体系           □职业健康安全管理体系</w:t>
      </w:r>
    </w:p>
    <w:p>
      <w:pPr>
        <w:tabs>
          <w:tab w:val="left" w:pos="360"/>
        </w:tabs>
        <w:spacing w:before="78" w:beforeLines="25" w:after="78" w:afterLines="25"/>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GB/T50430工程建设施工企业质量管理体系认证      □其他</w:t>
      </w:r>
      <w:r>
        <w:rPr>
          <w:rFonts w:hint="eastAsia" w:asciiTheme="minorEastAsia" w:hAnsiTheme="minorEastAsia" w:eastAsiaTheme="minorEastAsia"/>
          <w:bCs/>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甲方建立管理体系的依据、申请认证的类型等详细信息参见《管理体系认证申请书》。</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拟申请认证的管理体系覆盖的范围：</w:t>
      </w:r>
      <w:r>
        <w:rPr>
          <w:rFonts w:hint="eastAsia" w:asciiTheme="minorEastAsia" w:hAnsiTheme="minorEastAsia" w:eastAsiaTheme="minorEastAsia"/>
          <w:bCs/>
          <w:szCs w:val="21"/>
          <w:u w:val="single"/>
        </w:rPr>
        <w:t xml:space="preserve">                                                    </w:t>
      </w:r>
    </w:p>
    <w:p>
      <w:pPr>
        <w:spacing w:before="78" w:beforeLines="25" w:after="78" w:afterLines="25"/>
        <w:rPr>
          <w:rFonts w:asciiTheme="minorEastAsia" w:hAnsiTheme="minorEastAsia" w:eastAsiaTheme="minorEastAsia"/>
          <w:bCs/>
          <w:szCs w:val="21"/>
          <w:u w:val="single"/>
        </w:rPr>
      </w:pPr>
      <w:r>
        <w:rPr>
          <w:rFonts w:hint="eastAsia" w:asciiTheme="minorEastAsia" w:hAnsiTheme="minorEastAsia" w:eastAsiaTheme="minorEastAsia"/>
          <w:bCs/>
          <w:szCs w:val="21"/>
          <w:u w:val="single"/>
        </w:rPr>
        <w:t xml:space="preserve">                                                                                            </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bCs/>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注：认证证书中的认证范围、过程等内容将以现场审核最终确认的内容为准。</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甲方管理体系覆盖的总人数：</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 xml:space="preserve"> ，甲方总人数：</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管理体系认证项目的实施</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乙方按认证程序对甲方进行认证审核，在确认管理体系符合合同约定的审核依据后，为甲方办理认证注册，颁发或换发管理体系认证证书,证书有效期自颁发之日起三年。</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甲方在乙方《审核计划》上的签字作为对合同履行的确认。</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现场审核应在甲方管理体系覆盖的活动处于正常运行期间进行，其中：</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初审：第一阶段审核前，管理体系有效运行不少于3个月。</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监督审核：</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第一次监督审核建议在第二阶段审核或再认证审核最后一天起10-12个月内进行，最晚应在</w:t>
      </w:r>
      <w:r>
        <w:rPr>
          <w:rFonts w:hint="eastAsia" w:asciiTheme="minorEastAsia" w:hAnsiTheme="minorEastAsia" w:eastAsiaTheme="minorEastAsia"/>
          <w:szCs w:val="21"/>
        </w:rPr>
        <w:t>认证证书签发日</w:t>
      </w:r>
      <w:r>
        <w:rPr>
          <w:rFonts w:hint="eastAsia" w:asciiTheme="minorEastAsia" w:hAnsiTheme="minorEastAsia" w:eastAsiaTheme="minorEastAsia"/>
          <w:bCs/>
          <w:szCs w:val="21"/>
        </w:rPr>
        <w:t>起12个月内进行；</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第二次监督审核应在第一次监督审核最后一天起12个月内进行。当甲方因停产、搬迁等原因不能在12个月之内进行相应的监督审核时，至少应在每个日历年进行一次监督审核，</w:t>
      </w:r>
      <w:r>
        <w:rPr>
          <w:rFonts w:hint="eastAsia" w:asciiTheme="minorEastAsia" w:hAnsiTheme="minorEastAsia" w:eastAsiaTheme="minorEastAsia"/>
          <w:szCs w:val="21"/>
        </w:rPr>
        <w:t>两次监督审核的时间间隔不得超过15个月</w:t>
      </w:r>
      <w:r>
        <w:rPr>
          <w:rFonts w:hint="eastAsia" w:asciiTheme="minorEastAsia" w:hAnsiTheme="minorEastAsia" w:eastAsiaTheme="minorEastAsia"/>
          <w:bCs/>
          <w:szCs w:val="21"/>
        </w:rPr>
        <w:t>。</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如甲方未按期接受乙方的监督审核，乙方将暂停甲方使用认证证书及标识。</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在认证证书有效期期满前进行，甲方应至少在认证证书到期前3个月按照本合同要求提出申请、缴纳认证费用，甲方应确保符合认证条件，以确保完成认证批准。因甲方未按期履行上述义务导致认证无法批准的，乙方不承担任何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审核应在第二次监督审核最后一天起12个月内进行。当甲方因停产、搬迁等原因不能在12个月之内进行相应的再认证审核时，至少应在相应的日历年内完成审核，但无论如何，再认证审核的结束日期不能超过当前认证终止日期。</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如甲方未按期接受乙方的再认证审核，乙方将暂停甲方使用认证证书及标识。</w:t>
      </w:r>
    </w:p>
    <w:p>
      <w:pPr>
        <w:spacing w:before="78" w:beforeLines="25" w:after="78" w:afterLines="25"/>
        <w:ind w:left="851"/>
        <w:rPr>
          <w:rFonts w:hint="eastAsia" w:asciiTheme="minorEastAsia" w:hAnsiTheme="minorEastAsia" w:eastAsiaTheme="minorEastAsia"/>
          <w:bCs/>
          <w:szCs w:val="21"/>
        </w:rPr>
      </w:pPr>
    </w:p>
    <w:p>
      <w:pPr>
        <w:numPr>
          <w:ilvl w:val="0"/>
          <w:numId w:val="1"/>
        </w:numPr>
        <w:spacing w:before="1248" w:beforeLines="4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项目费用</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甲方应向乙方交付以下费用。</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获取证书的费用（初审）: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申请费：      元/次                           </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审定与注册费：</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元/体系（含中英文正本证书一套）</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 xml:space="preserve">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审核费：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副本及子证书费：中或英文</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 xml:space="preserve">元/张                  </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spacing w:before="25" w:after="78" w:afterLines="25"/>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四</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，自</w:t>
      </w:r>
      <w:r>
        <w:rPr>
          <w:rFonts w:cs="Arial" w:asciiTheme="minorEastAsia" w:hAnsiTheme="minorEastAsia" w:eastAsiaTheme="minorEastAsia"/>
          <w:szCs w:val="21"/>
        </w:rPr>
        <w:t>签订认证合同之日</w:t>
      </w:r>
      <w:r>
        <w:rPr>
          <w:rFonts w:hint="eastAsia" w:cs="Arial" w:asciiTheme="minorEastAsia" w:hAnsiTheme="minorEastAsia" w:eastAsiaTheme="minorEastAsia"/>
          <w:szCs w:val="21"/>
        </w:rPr>
        <w:t>起五个工作日内</w:t>
      </w:r>
      <w:r>
        <w:rPr>
          <w:rFonts w:cs="Arial" w:asciiTheme="minorEastAsia" w:hAnsiTheme="minorEastAsia" w:eastAsiaTheme="minorEastAsia"/>
          <w:szCs w:val="21"/>
        </w:rPr>
        <w:t>，甲方需将以上费用支付给乙方。</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每年保持证书费用（监督）:</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年金：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 xml:space="preserve">元/体系                         </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审核费：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spacing w:before="78" w:beforeLines="25" w:after="78" w:afterLines="25"/>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二</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w:t>
      </w:r>
      <w:r>
        <w:rPr>
          <w:rFonts w:cs="Arial" w:asciiTheme="minorEastAsia" w:hAnsiTheme="minorEastAsia" w:eastAsiaTheme="minorEastAsia"/>
          <w:szCs w:val="21"/>
        </w:rPr>
        <w:t>每次监督审核前一个月内</w:t>
      </w:r>
      <w:r>
        <w:rPr>
          <w:rFonts w:hint="eastAsia" w:cs="Arial" w:asciiTheme="minorEastAsia" w:hAnsiTheme="minorEastAsia" w:eastAsiaTheme="minorEastAsia"/>
          <w:szCs w:val="21"/>
        </w:rPr>
        <w:t>，</w:t>
      </w:r>
      <w:r>
        <w:rPr>
          <w:rFonts w:cs="Arial" w:asciiTheme="minorEastAsia" w:hAnsiTheme="minorEastAsia" w:eastAsiaTheme="minorEastAsia"/>
          <w:szCs w:val="21"/>
        </w:rPr>
        <w:t>甲方</w:t>
      </w:r>
      <w:r>
        <w:rPr>
          <w:rFonts w:hint="eastAsia" w:cs="Arial" w:asciiTheme="minorEastAsia" w:hAnsiTheme="minorEastAsia" w:eastAsiaTheme="minorEastAsia"/>
          <w:szCs w:val="21"/>
        </w:rPr>
        <w:t>应</w:t>
      </w:r>
      <w:r>
        <w:rPr>
          <w:rFonts w:cs="Arial" w:asciiTheme="minorEastAsia" w:hAnsiTheme="minorEastAsia" w:eastAsiaTheme="minorEastAsia"/>
          <w:szCs w:val="21"/>
        </w:rPr>
        <w:t>将以上费用一次性支付给乙方。</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再认证获取证书的费用：</w:t>
      </w:r>
    </w:p>
    <w:p>
      <w:pPr>
        <w:numPr>
          <w:ilvl w:val="3"/>
          <w:numId w:val="2"/>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审定与注册费：</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 xml:space="preserve">元/体系（含中英文正本证书一套） </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2"/>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审核费：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numPr>
          <w:ilvl w:val="3"/>
          <w:numId w:val="2"/>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副本及子证书费：中或英文</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 xml:space="preserve">元/张                  </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pPr>
        <w:spacing w:before="78" w:beforeLines="25" w:after="78" w:afterLines="25"/>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三</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，自</w:t>
      </w:r>
      <w:r>
        <w:rPr>
          <w:rFonts w:cs="Arial" w:asciiTheme="minorEastAsia" w:hAnsiTheme="minorEastAsia" w:eastAsiaTheme="minorEastAsia"/>
          <w:szCs w:val="21"/>
        </w:rPr>
        <w:t>签订认证合同之日</w:t>
      </w:r>
      <w:r>
        <w:rPr>
          <w:rFonts w:hint="eastAsia" w:cs="Arial" w:asciiTheme="minorEastAsia" w:hAnsiTheme="minorEastAsia" w:eastAsiaTheme="minorEastAsia"/>
          <w:szCs w:val="21"/>
        </w:rPr>
        <w:t>起五个工作日内</w:t>
      </w:r>
      <w:r>
        <w:rPr>
          <w:rFonts w:cs="Arial" w:asciiTheme="minorEastAsia" w:hAnsiTheme="minorEastAsia" w:eastAsiaTheme="minorEastAsia"/>
          <w:szCs w:val="21"/>
        </w:rPr>
        <w:t>，甲方需将以上费用支付给乙方。</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其它费用：</w:t>
      </w:r>
    </w:p>
    <w:p>
      <w:pPr>
        <w:numPr>
          <w:ilvl w:val="3"/>
          <w:numId w:val="1"/>
        </w:numPr>
        <w:spacing w:before="25" w:after="78" w:afterLines="25"/>
        <w:rPr>
          <w:rFonts w:cs="Arial" w:asciiTheme="minorEastAsia" w:hAnsiTheme="minorEastAsia" w:eastAsiaTheme="minorEastAsia"/>
          <w:szCs w:val="21"/>
        </w:rPr>
      </w:pPr>
      <w:r>
        <w:rPr>
          <w:rFonts w:hint="eastAsia" w:cs="Arial" w:asciiTheme="minorEastAsia" w:hAnsiTheme="minorEastAsia" w:eastAsiaTheme="minorEastAsia"/>
          <w:szCs w:val="21"/>
        </w:rPr>
        <w:t>每次现场</w:t>
      </w:r>
      <w:r>
        <w:rPr>
          <w:rFonts w:cs="Arial" w:asciiTheme="minorEastAsia" w:hAnsiTheme="minorEastAsia" w:eastAsiaTheme="minorEastAsia"/>
          <w:szCs w:val="21"/>
        </w:rPr>
        <w:t>审核时，乙方派出审核组成员的食、宿及往返交通费</w:t>
      </w:r>
      <w:r>
        <w:rPr>
          <w:rFonts w:hint="eastAsia" w:cs="Arial" w:asciiTheme="minorEastAsia" w:hAnsiTheme="minorEastAsia" w:eastAsiaTheme="minorEastAsia"/>
          <w:szCs w:val="21"/>
        </w:rPr>
        <w:t>均</w:t>
      </w:r>
      <w:r>
        <w:rPr>
          <w:rFonts w:cs="Arial" w:asciiTheme="minorEastAsia" w:hAnsiTheme="minorEastAsia" w:eastAsiaTheme="minorEastAsia"/>
          <w:szCs w:val="21"/>
        </w:rPr>
        <w:t>由甲方承担。</w:t>
      </w:r>
    </w:p>
    <w:p>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由于甲方管理体系变更或其他更改以及发生重大投诉与重大质量/环境/</w:t>
      </w:r>
      <w:r>
        <w:rPr>
          <w:rFonts w:hint="eastAsia" w:cs="Arial" w:asciiTheme="minorEastAsia" w:hAnsiTheme="minorEastAsia" w:eastAsiaTheme="minorEastAsia"/>
          <w:szCs w:val="21"/>
        </w:rPr>
        <w:t>职业健康</w:t>
      </w:r>
      <w:r>
        <w:rPr>
          <w:rFonts w:cs="Arial" w:asciiTheme="minorEastAsia" w:hAnsiTheme="minorEastAsia" w:eastAsiaTheme="minorEastAsia"/>
          <w:szCs w:val="21"/>
        </w:rPr>
        <w:t>安全</w:t>
      </w:r>
      <w:r>
        <w:rPr>
          <w:rFonts w:hint="eastAsia" w:cs="Arial" w:asciiTheme="minorEastAsia" w:hAnsiTheme="minorEastAsia" w:eastAsiaTheme="minorEastAsia"/>
          <w:szCs w:val="21"/>
        </w:rPr>
        <w:t>/食品安全</w:t>
      </w:r>
      <w:r>
        <w:rPr>
          <w:rFonts w:cs="Arial" w:asciiTheme="minorEastAsia" w:hAnsiTheme="minorEastAsia" w:eastAsiaTheme="minorEastAsia"/>
          <w:szCs w:val="21"/>
        </w:rPr>
        <w:t>事故，可能影响到甲方管理体系持续符合认证标准时，乙方将增加监督审核次数，并适当增加审核费用</w:t>
      </w:r>
      <w:r>
        <w:rPr>
          <w:rFonts w:hint="eastAsia" w:cs="Arial" w:asciiTheme="minorEastAsia" w:hAnsiTheme="minorEastAsia" w:eastAsiaTheme="minorEastAsia"/>
          <w:szCs w:val="21"/>
        </w:rPr>
        <w:t>。</w:t>
      </w:r>
    </w:p>
    <w:p>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如果在现场审核时发现甲方员工人数</w:t>
      </w:r>
      <w:r>
        <w:rPr>
          <w:rFonts w:hint="eastAsia" w:cs="Arial" w:asciiTheme="minorEastAsia" w:hAnsiTheme="minorEastAsia" w:eastAsiaTheme="minorEastAsia"/>
          <w:szCs w:val="21"/>
        </w:rPr>
        <w:t>与</w:t>
      </w:r>
      <w:r>
        <w:rPr>
          <w:rFonts w:cs="Arial" w:asciiTheme="minorEastAsia" w:hAnsiTheme="minorEastAsia" w:eastAsiaTheme="minorEastAsia"/>
          <w:szCs w:val="21"/>
        </w:rPr>
        <w:t>申请书所填写的人数</w:t>
      </w:r>
      <w:r>
        <w:rPr>
          <w:rFonts w:hint="eastAsia" w:cs="Arial" w:asciiTheme="minorEastAsia" w:hAnsiTheme="minorEastAsia" w:eastAsiaTheme="minorEastAsia"/>
          <w:szCs w:val="21"/>
        </w:rPr>
        <w:t>不符或获证后认证范围发生重大变更时</w:t>
      </w:r>
      <w:r>
        <w:rPr>
          <w:rFonts w:cs="Arial" w:asciiTheme="minorEastAsia" w:hAnsiTheme="minorEastAsia" w:eastAsiaTheme="minorEastAsia"/>
          <w:szCs w:val="21"/>
        </w:rPr>
        <w:t>，乙方</w:t>
      </w:r>
      <w:r>
        <w:rPr>
          <w:rFonts w:hint="eastAsia" w:cs="Arial" w:asciiTheme="minorEastAsia" w:hAnsiTheme="minorEastAsia" w:eastAsiaTheme="minorEastAsia"/>
          <w:szCs w:val="21"/>
        </w:rPr>
        <w:t>将</w:t>
      </w:r>
      <w:r>
        <w:rPr>
          <w:rFonts w:cs="Arial" w:asciiTheme="minorEastAsia" w:hAnsiTheme="minorEastAsia" w:eastAsiaTheme="minorEastAsia"/>
          <w:szCs w:val="21"/>
        </w:rPr>
        <w:t>根据甲方实际</w:t>
      </w:r>
      <w:r>
        <w:rPr>
          <w:rFonts w:hint="eastAsia" w:cs="Arial" w:asciiTheme="minorEastAsia" w:hAnsiTheme="minorEastAsia" w:eastAsiaTheme="minorEastAsia"/>
          <w:szCs w:val="21"/>
        </w:rPr>
        <w:t>情况</w:t>
      </w:r>
      <w:r>
        <w:rPr>
          <w:rFonts w:cs="Arial" w:asciiTheme="minorEastAsia" w:hAnsiTheme="minorEastAsia" w:eastAsiaTheme="minorEastAsia"/>
          <w:szCs w:val="21"/>
        </w:rPr>
        <w:t>，</w:t>
      </w:r>
      <w:r>
        <w:rPr>
          <w:rFonts w:hint="eastAsia" w:cs="Arial" w:asciiTheme="minorEastAsia" w:hAnsiTheme="minorEastAsia" w:eastAsiaTheme="minorEastAsia"/>
          <w:szCs w:val="21"/>
        </w:rPr>
        <w:t>重新核定</w:t>
      </w:r>
      <w:r>
        <w:rPr>
          <w:rFonts w:cs="Arial" w:asciiTheme="minorEastAsia" w:hAnsiTheme="minorEastAsia" w:eastAsiaTheme="minorEastAsia"/>
          <w:szCs w:val="21"/>
        </w:rPr>
        <w:t>审核人日数</w:t>
      </w:r>
      <w:r>
        <w:rPr>
          <w:rFonts w:hint="eastAsia" w:cs="Arial" w:asciiTheme="minorEastAsia" w:hAnsiTheme="minorEastAsia" w:eastAsiaTheme="minorEastAsia"/>
          <w:szCs w:val="21"/>
        </w:rPr>
        <w:t>。由此导致审核人日数增加的，</w:t>
      </w:r>
      <w:r>
        <w:rPr>
          <w:rFonts w:cs="Arial" w:asciiTheme="minorEastAsia" w:hAnsiTheme="minorEastAsia" w:eastAsiaTheme="minorEastAsia"/>
          <w:szCs w:val="21"/>
        </w:rPr>
        <w:t>甲方</w:t>
      </w:r>
      <w:r>
        <w:rPr>
          <w:rFonts w:hint="eastAsia" w:cs="Arial" w:asciiTheme="minorEastAsia" w:hAnsiTheme="minorEastAsia" w:eastAsiaTheme="minorEastAsia"/>
          <w:szCs w:val="21"/>
        </w:rPr>
        <w:t>还</w:t>
      </w:r>
      <w:r>
        <w:rPr>
          <w:rFonts w:cs="Arial" w:asciiTheme="minorEastAsia" w:hAnsiTheme="minorEastAsia" w:eastAsiaTheme="minorEastAsia"/>
          <w:szCs w:val="21"/>
        </w:rPr>
        <w:t>需向乙方</w:t>
      </w:r>
      <w:r>
        <w:rPr>
          <w:rFonts w:hint="eastAsia" w:cs="Arial" w:asciiTheme="minorEastAsia" w:hAnsiTheme="minorEastAsia" w:eastAsiaTheme="minorEastAsia"/>
          <w:szCs w:val="21"/>
        </w:rPr>
        <w:t>补充</w:t>
      </w:r>
      <w:r>
        <w:rPr>
          <w:rFonts w:cs="Arial" w:asciiTheme="minorEastAsia" w:hAnsiTheme="minorEastAsia" w:eastAsiaTheme="minorEastAsia"/>
          <w:szCs w:val="21"/>
        </w:rPr>
        <w:t>支付</w:t>
      </w:r>
      <w:r>
        <w:rPr>
          <w:rFonts w:hint="eastAsia" w:cs="Arial" w:asciiTheme="minorEastAsia" w:hAnsiTheme="minorEastAsia" w:eastAsiaTheme="minorEastAsia"/>
          <w:szCs w:val="21"/>
        </w:rPr>
        <w:t>由于审核人日数增加所引发</w:t>
      </w:r>
      <w:r>
        <w:rPr>
          <w:rFonts w:cs="Arial" w:asciiTheme="minorEastAsia" w:hAnsiTheme="minorEastAsia" w:eastAsiaTheme="minorEastAsia"/>
          <w:szCs w:val="21"/>
        </w:rPr>
        <w:t>增加的</w:t>
      </w:r>
      <w:r>
        <w:rPr>
          <w:rFonts w:hint="eastAsia" w:cs="Arial" w:asciiTheme="minorEastAsia" w:hAnsiTheme="minorEastAsia" w:eastAsiaTheme="minorEastAsia"/>
          <w:szCs w:val="21"/>
        </w:rPr>
        <w:t>审核</w:t>
      </w:r>
      <w:r>
        <w:rPr>
          <w:rFonts w:cs="Arial" w:asciiTheme="minorEastAsia" w:hAnsiTheme="minorEastAsia" w:eastAsiaTheme="minorEastAsia"/>
          <w:szCs w:val="21"/>
        </w:rPr>
        <w:t>费用。</w:t>
      </w:r>
    </w:p>
    <w:p>
      <w:pPr>
        <w:numPr>
          <w:ilvl w:val="3"/>
          <w:numId w:val="1"/>
        </w:numPr>
        <w:spacing w:before="25" w:after="78" w:afterLines="25"/>
        <w:rPr>
          <w:rFonts w:cs="Arial" w:asciiTheme="minorEastAsia" w:hAnsiTheme="minorEastAsia" w:eastAsiaTheme="minorEastAsia"/>
          <w:szCs w:val="21"/>
        </w:rPr>
      </w:pPr>
      <w:r>
        <w:rPr>
          <w:rFonts w:hint="eastAsia" w:cs="Arial" w:asciiTheme="minorEastAsia" w:hAnsiTheme="minorEastAsia" w:eastAsiaTheme="minorEastAsia"/>
          <w:szCs w:val="21"/>
        </w:rPr>
        <w:t>当认证相关的国家法律法规及其他要求发生变化，导致额外增加审核工作量时，乙方将适当收取相应审核费用。</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合同双方的权利和义务</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甲方的权利义务：</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权  利：</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有权在符合有关法律法规及相关要求的前提下，提出管理体系认证范围的要求（包括产品/服务/活动/场所）；</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有权对乙方在认证服务过程或活动中违规和损害公正性的行为提出申诉或投诉。</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义  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第一阶段审核前确保体系有效运行不少于3个月，获得认证证书后持续有效运行相应的管理体系。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遵守认证认可相关法律、法规和规章，对国家认监委和地方认证监督等管理部门实施的监督检查予以配合和协助，对有关事项的询问和调查如实提供相关材料和信息。</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接受乙方、认可机构等安排的非例行检查/审核、确认审核、见证评审等，并在检查/审核/评审中给予必要的配合。</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遵守乙方的有关认证规定，按时交纳和承担各项费用。</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保证提交资料的真实性、合法性及有效性，同时提交的管理体系文件应符合乙方审核的要求，甲方应根据乙方文审意见对体系文件进行修订。</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为乙方进入现场审核作出全面合理安排，包括向乙方提供为进行初次认证、监督、再认证审核所需要的文件，审核人员所需进入的场所（保密区域应提前向乙方书面说明），提供充分的资料证明体系运行的有效性。</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获得认证证书后，对认证信息的使用应符合以下要求：</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在传播媒介（如互联网、宣传册或广告）或其他文件中引用认证状态时，应按乙方公开文件的要求正确使用认证证书、认证标志和有关信息，就获准认证的范围作宣传；</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不做出或不允许有关于其认证资格的误导性说明；</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不以或不允许以误导性方式使用认证文件或其任何部分，不得利用管理体系认证证书和相关文字、符号误导公众认为其产品、服务通过认证；</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证书暂停期间，管理体系认证证书暂时无效，不得使用证书和标志继续宣传认证资格；</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证书注销（证书有效期已到终止时间）或撤销时，按照乙方撤销通知和公开文件要求，立即停止使用所有引用认证资格的广告材料，并将证书归还乙方；</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在认证范围被缩小时，修改所有的广告材料；</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不允许在引用管理体系认证资格时，暗示乙方对产品（包括服务）或过程进行了认证；</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不得暗示认证适用于认证范围以外的活动和场所；</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在使用认证资格时，不得使乙方和（或）认证制度声誉受损，失去公众信任；</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对违反以上任一要求引起的一切责任由甲方自行承担，因此给乙方造成损失或影响的，甲方应承担赔偿责任。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证书有效期内，甲方发生以下情况时应及时向乙方进行通报，包括（但不限于）以下内容：</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法律地位、经营状况、组织状态或所有权的变更；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组织、组织结构和管理层（如法人代表、最高管理者等关键的管理、决策或技术人员）的变更；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联系地址、注册地址、通讯地址、活动场所、多场所等的变更；</w:t>
      </w:r>
    </w:p>
    <w:p>
      <w:pPr>
        <w:numPr>
          <w:ilvl w:val="4"/>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行政许可资质的变更、更新、复查换证、到期、注销等情况信息；</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管理体系覆盖的活动范围和（或）边界的变更；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管理体系和重要过程的变更；</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客户及相关方的重大投诉；</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生产、销售的产品或提供的服务被质量或市场监督部门认定不合格；</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发生产品质量安全事故、环境污染事故、生产安全事故、食品安全事故；</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监管机构介入调查的有关职业健康、安全的严重事件或违法情况；</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管理体系文件的变化；</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适用法律法规及标准的变化；</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获得食品安全管理体系和危害分析与关键控制点（HACCP）体系认证的组织除进行上述通报外，还应及时通报以下信息：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食品安全管理体系和（或）危害分析与关键控制点（HACCP）体系和过程的重大变更信息；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产品工艺环境的变化信息；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有关食品安全事故的信息，消费者投诉信息；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所在区域（周围）内发生的有关重大动、植物疫情的信息；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官方检查或政府部门组织的市场抽查中被发现有严重食品安全问题的信息；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出口的产品因卫生方面的问题被进口国（地区）主管当局通报的信息；</w:t>
      </w:r>
    </w:p>
    <w:p>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不合格品召回及处理信息等。</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其他与管理体系运行有关的重要信息。</w:t>
      </w:r>
    </w:p>
    <w:p>
      <w:pPr>
        <w:numPr>
          <w:ilvl w:val="3"/>
          <w:numId w:val="1"/>
        </w:numPr>
        <w:spacing w:before="78" w:beforeLines="25" w:after="78" w:afterLines="25"/>
        <w:rPr>
          <w:rFonts w:asciiTheme="minorEastAsia" w:hAnsiTheme="minorEastAsia" w:eastAsiaTheme="minorEastAsia"/>
          <w:bCs/>
          <w:szCs w:val="21"/>
        </w:rPr>
      </w:pP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甲方发生了与职业健康、安全有关的严重事件，如严重事故或严重违法，接受乙方实施的调查。</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接受乙方因甲方相关内容变更后的调查和必要时的追加审核和认证决定，否则因此引起的一切责任由甲方自行承担，因此给乙方造成损失或影响的，甲方应承担赔偿责任。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向乙方申请管理体系认证之日起前一年内，承诺未出现以下任何一种情况：</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其他认证机构对本组织作出过不推荐认证注册（初审）、不推荐再次认证注册或不推荐继续使用认证证书（监督）的结论；</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其他认证机构对本组织做出过暂停认证证书或撤销认证证书的决定；</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本组织被执法监管部门责令停业整顿；</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在全国企业信用信息公示系统（</w:t>
      </w:r>
      <w:r>
        <w:fldChar w:fldCharType="begin"/>
      </w:r>
      <w:r>
        <w:instrText xml:space="preserve"> HYPERLINK "http://gsxt.saic.gov.cn/" </w:instrText>
      </w:r>
      <w:r>
        <w:fldChar w:fldCharType="separate"/>
      </w:r>
      <w:r>
        <w:rPr>
          <w:rStyle w:val="14"/>
          <w:rFonts w:asciiTheme="minorEastAsia" w:hAnsiTheme="minorEastAsia" w:eastAsiaTheme="minorEastAsia"/>
          <w:color w:val="auto"/>
          <w:szCs w:val="21"/>
        </w:rPr>
        <w:t>http://gsxt.saic.gov.cn/</w:t>
      </w:r>
      <w:r>
        <w:rPr>
          <w:rStyle w:val="14"/>
          <w:rFonts w:asciiTheme="minorEastAsia" w:hAnsiTheme="minorEastAsia" w:eastAsiaTheme="minorEastAsia"/>
          <w:color w:val="auto"/>
          <w:szCs w:val="21"/>
        </w:rPr>
        <w:fldChar w:fldCharType="end"/>
      </w:r>
      <w:r>
        <w:rPr>
          <w:rFonts w:hint="eastAsia" w:asciiTheme="minorEastAsia" w:hAnsiTheme="minorEastAsia" w:eastAsiaTheme="minorEastAsia"/>
          <w:bCs/>
          <w:szCs w:val="21"/>
        </w:rPr>
        <w:t>）中，本组织被列入“严重违法企业名单”。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发生因甲方未如实申报而导致乙方颁发的管理体系认证证书出现无效的情况而造成对甲方的损失时，由甲方自行承担；由此对乙方造成的损失(包括实际经济损失、为补救而产生的额外支出及乙方的名誉损失)则由甲方承担。</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现场审核前，甲方应对乙方提交的审核计划进行确认，并对审核过程中审核组执行审核计划的情况进行监督。由于审核计划执行过程出现问题导致审核无效或认证证书失效，由过错方承担法律责任。</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中国国家认证认可监督管理委员会官方网站</w:t>
      </w:r>
      <w:r>
        <w:fldChar w:fldCharType="begin"/>
      </w:r>
      <w:r>
        <w:instrText xml:space="preserve"> HYPERLINK "http://www.cnca.gov.cn" </w:instrText>
      </w:r>
      <w:r>
        <w:fldChar w:fldCharType="separate"/>
      </w:r>
      <w:r>
        <w:rPr>
          <w:rFonts w:asciiTheme="minorEastAsia" w:hAnsiTheme="minorEastAsia" w:eastAsiaTheme="minorEastAsia"/>
          <w:bCs/>
          <w:szCs w:val="21"/>
        </w:rPr>
        <w:t>http</w:t>
      </w:r>
      <w:r>
        <w:rPr>
          <w:rFonts w:hint="eastAsia" w:asciiTheme="minorEastAsia" w:hAnsiTheme="minorEastAsia" w:eastAsiaTheme="minorEastAsia"/>
          <w:bCs/>
          <w:szCs w:val="21"/>
        </w:rPr>
        <w:t>://www.cnca.gov.cn</w:t>
      </w:r>
      <w:r>
        <w:rPr>
          <w:rFonts w:hint="eastAsia" w:asciiTheme="minorEastAsia" w:hAnsiTheme="minorEastAsia" w:eastAsiaTheme="minorEastAsia"/>
          <w:bCs/>
          <w:szCs w:val="21"/>
        </w:rPr>
        <w:fldChar w:fldCharType="end"/>
      </w:r>
      <w:r>
        <w:rPr>
          <w:rFonts w:hint="eastAsia" w:asciiTheme="minorEastAsia" w:hAnsiTheme="minorEastAsia" w:eastAsiaTheme="minorEastAsia"/>
          <w:bCs/>
          <w:szCs w:val="21"/>
        </w:rPr>
        <w:t xml:space="preserve"> 中刊载的与甲方相关信息亦是甲方在本合同履行期间的义务。</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乙方的权利义务</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权利：</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有权依据相关法律法规和现场审核结论，确定甲方认证注册范围；决定甲方是否给予认证注册和颁发证书。</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有权依据甲方的违规行为，作出暂停、注销或撤销甲方认证注册资格，收回证书的决定。</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根据监管机构介入调查的有关甲方职业健康安全的严重事件或违法情况的调查结果，经乙方确认甲方不能满足职业健康安全管理体系要求时，有权采取暂停或撤销甲方认证注册资格，收回证书的决定。</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有权在甲方管理体系出现异常情况时，适时地安排非例行的审核；其时间及费用由双方另行商定。如</w:t>
      </w:r>
      <w:r>
        <w:rPr>
          <w:rFonts w:hint="eastAsia" w:asciiTheme="minorEastAsia" w:hAnsiTheme="minorEastAsia" w:eastAsiaTheme="minorEastAsia"/>
          <w:szCs w:val="21"/>
        </w:rPr>
        <w:t>甲方的产品在产品质量国家监督抽查中被查出不合格时，甲方应在5日内向乙方通报，同时自国家质检总局发出通报起30日内，乙方应对甲方实施监督审核。</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由于非乙方原因导致本合同不能继续履行或终止履行的，乙方所收取的费用不予退还。</w:t>
      </w:r>
    </w:p>
    <w:p>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义务：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严格遵守国家的法律、法规和认可机构的规定。</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按照认证程序、认证所依据的标准及本合同约定，客观公正地为甲方提供认证服务。</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严格保密承诺，不得将甲方在经营、生产、技术、管理等方面的非公开信息以任何方式泄密给第三方。但下列情况除外：</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甲方已公开的信息；</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得到甲方的书面同意；</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认可机构需要时；</w:t>
      </w:r>
    </w:p>
    <w:p>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应法律要求时。</w:t>
      </w:r>
    </w:p>
    <w:p>
      <w:p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    除法律禁止外，乙方应将拟提供的信息提前通知甲方。特殊情况下，可以根据甲方要求（如出于安全原因），对乙方公开的甲方的名称、相关规范文件、认证范围和地理位置的公开程度作出限制。</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负责在有关媒体上发布甲方已获认证注册的信息。</w:t>
      </w:r>
    </w:p>
    <w:p>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对于获得食品安全管理体系证书的组织，乙方对其颁发的认证证书的有效性负责</w:t>
      </w:r>
      <w:r>
        <w:rPr>
          <w:rFonts w:hint="eastAsia" w:ascii="宋体" w:hAnsi="宋体"/>
          <w:bCs/>
          <w:sz w:val="22"/>
          <w:szCs w:val="22"/>
        </w:rPr>
        <w:t>，获得认证的组织在证书有效期内发生证书覆盖范围内的食品安全事故时，乙方负有相应的责任</w:t>
      </w:r>
      <w:r>
        <w:rPr>
          <w:rFonts w:hint="eastAsia" w:asciiTheme="minorEastAsia" w:hAnsiTheme="minorEastAsia" w:eastAsiaTheme="minorEastAsia"/>
          <w:bCs/>
          <w:szCs w:val="21"/>
        </w:rPr>
        <w:t>。</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合同的生效</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本合同一式两份，自甲乙双方签字盖章完成签署之日起生效，甲乙双方各执一份。</w:t>
      </w:r>
    </w:p>
    <w:p>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本合同执行期间，双方所有的正式信息均应以书面形式文件表达（允许使用传真件、电子邮件）。</w:t>
      </w:r>
    </w:p>
    <w:p>
      <w:pPr>
        <w:numPr>
          <w:ilvl w:val="1"/>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本合同有效期为三年。任何一方欲中止本合同须提前30日书面通知对方，双方协商一致后方得中止。</w:t>
      </w:r>
    </w:p>
    <w:p>
      <w:pPr>
        <w:numPr>
          <w:ilvl w:val="1"/>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下列情况下，合同自然终止失效：</w:t>
      </w:r>
    </w:p>
    <w:p>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乙方对甲方的认证结论为不合格，经甲方整改，乙方再次审核，仍为不合格时（出现此情况，甲方仍须缴纳全部审核费用）；</w:t>
      </w:r>
    </w:p>
    <w:p>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认证证书有效期满三年时，双方未续约。</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合同争议的处理</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因本合同所发生的争议，甲乙双方协商调解。协商调解不成，依法定程序向乙方所在地法院提出诉讼。</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违约责任</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甲乙双方必须认真执行合同，如签订合同后一方不能履行合同时，双方应协商解决。由于终止合同所产生的经济损失由责任方承担。发生不可抗力的情况除外（不可抗力应是法律上认可的）。 </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合同更改</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在合同有效期内，因合同一方提出变更合同条款时，经双方协商一致，应签署《合同更改补充协议》作为本合同的附件。补充协议中新条款生效后，本合同中与其相抵触的条款失效。</w:t>
      </w:r>
    </w:p>
    <w:p>
      <w:pPr>
        <w:numPr>
          <w:ilvl w:val="0"/>
          <w:numId w:val="1"/>
        </w:numPr>
        <w:spacing w:before="1872" w:beforeLines="600" w:after="156" w:afterLines="50"/>
        <w:rPr>
          <w:rFonts w:asciiTheme="minorEastAsia" w:hAnsiTheme="minorEastAsia" w:eastAsiaTheme="minorEastAsia"/>
          <w:b/>
          <w:bCs/>
          <w:szCs w:val="21"/>
        </w:rPr>
      </w:pPr>
      <w:r>
        <w:rPr>
          <w:rFonts w:asciiTheme="minorEastAsia" w:hAnsiTheme="minorEastAsia" w:eastAsiaTheme="minorEastAsia"/>
          <w:b/>
          <w:bCs/>
          <w:szCs w:val="21"/>
        </w:rPr>
        <w:t>双方同意，甲方申请的认证范围最终以乙方认证决定的书面文件为准。</w:t>
      </w:r>
    </w:p>
    <w:p>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通知和送达</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各方同意以本协议载明的通讯地址为有效送达地址，任何一方对上述地址有修改的，应及时通知另一方，否则仍以载明地址为准。</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确认：乙方任何书面文件或通知送达下述联系人（含电子邮箱）的视为有效送达，该联系人及邮箱作出的回复视为甲方的真实意思表示。甲方如变更上述联系人，须提前10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p>
      <w:pPr>
        <w:spacing w:before="78" w:beforeLines="25" w:after="78" w:afterLines="25"/>
        <w:rPr>
          <w:rFonts w:hint="eastAsia"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p>
      <w:pPr>
        <w:spacing w:before="78" w:beforeLines="25" w:after="78" w:afterLines="25"/>
        <w:rPr>
          <w:rFonts w:asciiTheme="minorEastAsia" w:hAnsiTheme="minorEastAsia" w:eastAsiaTheme="minorEastAsia"/>
          <w:b/>
          <w:szCs w:val="21"/>
        </w:rPr>
      </w:pPr>
    </w:p>
    <w:tbl>
      <w:tblPr>
        <w:tblStyle w:val="9"/>
        <w:tblW w:w="9853" w:type="dxa"/>
        <w:jc w:val="center"/>
        <w:tblInd w:w="0" w:type="dxa"/>
        <w:tblLayout w:type="fixed"/>
        <w:tblCellMar>
          <w:top w:w="0" w:type="dxa"/>
          <w:left w:w="108" w:type="dxa"/>
          <w:bottom w:w="0" w:type="dxa"/>
          <w:right w:w="108" w:type="dxa"/>
        </w:tblCellMar>
      </w:tblPr>
      <w:tblGrid>
        <w:gridCol w:w="4926"/>
        <w:gridCol w:w="4927"/>
      </w:tblGrid>
      <w:tr>
        <w:tblPrEx>
          <w:tblLayout w:type="fixed"/>
          <w:tblCellMar>
            <w:top w:w="0" w:type="dxa"/>
            <w:left w:w="108" w:type="dxa"/>
            <w:bottom w:w="0" w:type="dxa"/>
            <w:right w:w="108" w:type="dxa"/>
          </w:tblCellMar>
        </w:tblPrEx>
        <w:trPr>
          <w:trHeight w:val="349" w:hRule="atLeast"/>
          <w:jc w:val="center"/>
        </w:trPr>
        <w:tc>
          <w:tcPr>
            <w:tcW w:w="4926" w:type="dxa"/>
            <w:vAlign w:val="center"/>
          </w:tcPr>
          <w:p>
            <w:pPr>
              <w:spacing w:line="440" w:lineRule="exact"/>
              <w:rPr>
                <w:rFonts w:ascii="Arial" w:hAnsi="Arial" w:eastAsia="黑体" w:cs="Arial"/>
                <w:sz w:val="24"/>
              </w:rPr>
            </w:pPr>
            <w:r>
              <w:rPr>
                <w:rFonts w:hint="eastAsia" w:ascii="宋体" w:hAnsi="宋体"/>
                <w:b/>
                <w:sz w:val="22"/>
                <w:szCs w:val="22"/>
              </w:rPr>
              <w:t>委托方（甲方）</w:t>
            </w:r>
            <w:r>
              <w:rPr>
                <w:rFonts w:ascii="Arial" w:hAnsi="Arial" w:eastAsia="黑体" w:cs="Arial"/>
                <w:sz w:val="24"/>
              </w:rPr>
              <w:t>：</w:t>
            </w:r>
          </w:p>
        </w:tc>
        <w:tc>
          <w:tcPr>
            <w:tcW w:w="4927" w:type="dxa"/>
            <w:vAlign w:val="center"/>
          </w:tcPr>
          <w:p>
            <w:pPr>
              <w:spacing w:line="440" w:lineRule="exact"/>
              <w:rPr>
                <w:rFonts w:ascii="Arial" w:hAnsi="Arial" w:eastAsia="黑体" w:cs="Arial"/>
                <w:sz w:val="24"/>
              </w:rPr>
            </w:pPr>
            <w:r>
              <w:rPr>
                <w:rFonts w:hint="eastAsia" w:ascii="宋体" w:hAnsi="宋体"/>
                <w:b/>
                <w:sz w:val="22"/>
                <w:szCs w:val="22"/>
              </w:rPr>
              <w:t>审核方（乙方）</w:t>
            </w:r>
            <w:r>
              <w:rPr>
                <w:rFonts w:ascii="Arial" w:hAnsi="Arial" w:eastAsia="黑体" w:cs="Arial"/>
                <w:sz w:val="24"/>
              </w:rPr>
              <w:t>：</w:t>
            </w:r>
          </w:p>
        </w:tc>
      </w:tr>
      <w:tr>
        <w:tblPrEx>
          <w:tblLayout w:type="fixed"/>
          <w:tblCellMar>
            <w:top w:w="0" w:type="dxa"/>
            <w:left w:w="108" w:type="dxa"/>
            <w:bottom w:w="0" w:type="dxa"/>
            <w:right w:w="108" w:type="dxa"/>
          </w:tblCellMar>
        </w:tblPrEx>
        <w:trPr>
          <w:trHeight w:val="493" w:hRule="atLeast"/>
          <w:jc w:val="center"/>
        </w:trPr>
        <w:tc>
          <w:tcPr>
            <w:tcW w:w="4926" w:type="dxa"/>
          </w:tcPr>
          <w:p>
            <w:pPr>
              <w:spacing w:line="440" w:lineRule="exact"/>
              <w:rPr>
                <w:rFonts w:ascii="Arial" w:hAnsi="Arial" w:eastAsia="黑体" w:cs="Arial"/>
                <w:sz w:val="24"/>
              </w:rPr>
            </w:pPr>
            <w:r>
              <w:rPr>
                <w:rFonts w:ascii="Arial" w:hAnsi="Arial" w:eastAsia="黑体" w:cs="Arial"/>
                <w:sz w:val="24"/>
              </w:rPr>
              <w:t>（盖章）</w:t>
            </w:r>
          </w:p>
        </w:tc>
        <w:tc>
          <w:tcPr>
            <w:tcW w:w="4927" w:type="dxa"/>
          </w:tcPr>
          <w:p>
            <w:pPr>
              <w:spacing w:line="440" w:lineRule="exact"/>
              <w:rPr>
                <w:rFonts w:ascii="Arial" w:hAnsi="Arial" w:eastAsia="黑体" w:cs="Arial"/>
                <w:sz w:val="24"/>
              </w:rPr>
            </w:pPr>
            <w:r>
              <w:rPr>
                <w:rFonts w:ascii="Arial" w:hAnsi="Arial" w:eastAsia="黑体" w:cs="Arial"/>
                <w:sz w:val="24"/>
              </w:rPr>
              <w:t>（盖章）</w:t>
            </w: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rPr>
                <w:rFonts w:ascii="Arial" w:hAnsi="Arial" w:eastAsia="黑体" w:cs="Arial"/>
                <w:sz w:val="24"/>
              </w:rPr>
            </w:pPr>
            <w:r>
              <w:rPr>
                <w:rFonts w:ascii="Arial" w:hAnsi="Arial" w:eastAsia="黑体" w:cs="Arial"/>
                <w:sz w:val="24"/>
              </w:rPr>
              <w:t>法定代表人：</w:t>
            </w:r>
          </w:p>
        </w:tc>
        <w:tc>
          <w:tcPr>
            <w:tcW w:w="4927" w:type="dxa"/>
            <w:vAlign w:val="center"/>
          </w:tcPr>
          <w:p>
            <w:pPr>
              <w:spacing w:line="440" w:lineRule="exact"/>
              <w:rPr>
                <w:rFonts w:ascii="Arial" w:hAnsi="Arial" w:eastAsia="黑体" w:cs="Arial"/>
                <w:sz w:val="24"/>
              </w:rPr>
            </w:pPr>
            <w:r>
              <w:rPr>
                <w:rFonts w:ascii="Arial" w:hAnsi="Arial" w:eastAsia="黑体" w:cs="Arial"/>
                <w:sz w:val="24"/>
              </w:rPr>
              <w:t>法定代表人：</w:t>
            </w:r>
            <w:r>
              <w:rPr>
                <w:rFonts w:hint="eastAsia" w:ascii="Arial" w:hAnsi="Arial" w:eastAsia="黑体" w:cs="Arial"/>
                <w:sz w:val="24"/>
              </w:rPr>
              <w:t>沈君清</w:t>
            </w: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rPr>
                <w:rFonts w:ascii="Arial" w:hAnsi="Arial" w:eastAsia="黑体" w:cs="Arial"/>
                <w:sz w:val="24"/>
              </w:rPr>
            </w:pPr>
            <w:r>
              <w:rPr>
                <w:rFonts w:ascii="Arial" w:hAnsi="Arial" w:eastAsia="黑体" w:cs="Arial"/>
                <w:sz w:val="24"/>
              </w:rPr>
              <w:t>委托代表人（签字）：</w:t>
            </w:r>
          </w:p>
        </w:tc>
        <w:tc>
          <w:tcPr>
            <w:tcW w:w="4927" w:type="dxa"/>
            <w:vAlign w:val="center"/>
          </w:tcPr>
          <w:p>
            <w:pPr>
              <w:spacing w:line="440" w:lineRule="exact"/>
              <w:rPr>
                <w:rFonts w:ascii="Arial" w:hAnsi="Arial" w:eastAsia="黑体" w:cs="Arial"/>
                <w:sz w:val="24"/>
              </w:rPr>
            </w:pPr>
            <w:r>
              <w:rPr>
                <w:rFonts w:ascii="Arial" w:hAnsi="Arial" w:eastAsia="黑体" w:cs="Arial"/>
                <w:sz w:val="24"/>
              </w:rPr>
              <w:t>委托代表人（签字）：</w:t>
            </w: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ind w:right="480"/>
              <w:jc w:val="right"/>
              <w:rPr>
                <w:rFonts w:ascii="Arial" w:hAnsi="Arial" w:eastAsia="黑体" w:cs="Arial"/>
                <w:sz w:val="24"/>
              </w:rPr>
            </w:pPr>
            <w:r>
              <w:rPr>
                <w:rFonts w:ascii="Arial" w:hAnsi="Arial" w:eastAsia="黑体" w:cs="Arial"/>
                <w:sz w:val="24"/>
              </w:rPr>
              <w:t>年    月    日</w:t>
            </w:r>
          </w:p>
        </w:tc>
        <w:tc>
          <w:tcPr>
            <w:tcW w:w="4927" w:type="dxa"/>
            <w:vAlign w:val="center"/>
          </w:tcPr>
          <w:p>
            <w:pPr>
              <w:spacing w:line="440" w:lineRule="exact"/>
              <w:ind w:right="480"/>
              <w:jc w:val="right"/>
              <w:rPr>
                <w:rFonts w:ascii="Arial" w:hAnsi="Arial" w:eastAsia="黑体" w:cs="Arial"/>
                <w:sz w:val="24"/>
              </w:rPr>
            </w:pPr>
            <w:r>
              <w:rPr>
                <w:rFonts w:ascii="Arial" w:hAnsi="Arial" w:eastAsia="黑体" w:cs="Arial"/>
                <w:sz w:val="24"/>
              </w:rPr>
              <w:t>年    月    日</w:t>
            </w: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rPr>
                <w:rFonts w:ascii="Arial" w:hAnsi="Arial" w:eastAsia="黑体" w:cs="Arial"/>
                <w:sz w:val="24"/>
              </w:rPr>
            </w:pPr>
            <w:r>
              <w:rPr>
                <w:rFonts w:ascii="Arial" w:hAnsi="Arial" w:eastAsia="黑体" w:cs="Arial"/>
                <w:sz w:val="24"/>
              </w:rPr>
              <w:t>联 系 人：</w:t>
            </w:r>
          </w:p>
        </w:tc>
        <w:tc>
          <w:tcPr>
            <w:tcW w:w="4927" w:type="dxa"/>
            <w:vAlign w:val="center"/>
          </w:tcPr>
          <w:p>
            <w:pPr>
              <w:spacing w:line="440" w:lineRule="exact"/>
              <w:rPr>
                <w:rFonts w:ascii="Arial" w:hAnsi="Arial" w:eastAsia="黑体" w:cs="Arial"/>
                <w:sz w:val="24"/>
              </w:rPr>
            </w:pPr>
            <w:r>
              <w:rPr>
                <w:rFonts w:ascii="Arial" w:hAnsi="Arial" w:eastAsia="黑体" w:cs="Arial"/>
                <w:sz w:val="24"/>
              </w:rPr>
              <w:t>电    话：</w:t>
            </w:r>
            <w:r>
              <w:rPr>
                <w:rFonts w:hint="eastAsia" w:ascii="Arial" w:hAnsi="Arial" w:eastAsia="黑体" w:cs="Arial"/>
                <w:sz w:val="24"/>
              </w:rPr>
              <w:t>0531-58192828</w:t>
            </w: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rPr>
                <w:rFonts w:ascii="Arial" w:hAnsi="Arial" w:eastAsia="黑体" w:cs="Arial"/>
                <w:sz w:val="24"/>
              </w:rPr>
            </w:pPr>
            <w:r>
              <w:rPr>
                <w:rFonts w:ascii="Arial" w:hAnsi="Arial" w:eastAsia="黑体" w:cs="Arial"/>
                <w:sz w:val="24"/>
              </w:rPr>
              <w:t>电    话：</w:t>
            </w:r>
          </w:p>
        </w:tc>
        <w:tc>
          <w:tcPr>
            <w:tcW w:w="4927" w:type="dxa"/>
            <w:vAlign w:val="center"/>
          </w:tcPr>
          <w:p>
            <w:pPr>
              <w:spacing w:line="440" w:lineRule="exact"/>
              <w:rPr>
                <w:rFonts w:ascii="Arial" w:hAnsi="Arial" w:eastAsia="黑体" w:cs="Arial"/>
                <w:sz w:val="24"/>
              </w:rPr>
            </w:pPr>
            <w:r>
              <w:rPr>
                <w:rFonts w:ascii="Arial" w:hAnsi="Arial" w:eastAsia="黑体" w:cs="Arial"/>
                <w:sz w:val="24"/>
              </w:rPr>
              <w:t>传    真</w:t>
            </w:r>
            <w:r>
              <w:rPr>
                <w:rFonts w:hint="eastAsia" w:ascii="Arial" w:hAnsi="Arial" w:eastAsia="黑体" w:cs="Arial"/>
                <w:sz w:val="24"/>
              </w:rPr>
              <w:t>：0531-58192828</w:t>
            </w: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rPr>
                <w:rFonts w:ascii="Arial" w:hAnsi="Arial" w:eastAsia="黑体" w:cs="Arial"/>
                <w:sz w:val="24"/>
              </w:rPr>
            </w:pPr>
            <w:r>
              <w:rPr>
                <w:rFonts w:hint="eastAsia" w:ascii="Arial" w:hAnsi="Arial" w:eastAsia="黑体" w:cs="Arial"/>
                <w:sz w:val="24"/>
              </w:rPr>
              <w:t>手    机：</w:t>
            </w:r>
          </w:p>
        </w:tc>
        <w:tc>
          <w:tcPr>
            <w:tcW w:w="4927" w:type="dxa"/>
            <w:vAlign w:val="center"/>
          </w:tcPr>
          <w:p>
            <w:pPr>
              <w:spacing w:line="440" w:lineRule="exact"/>
              <w:rPr>
                <w:rFonts w:ascii="Arial" w:hAnsi="Arial" w:eastAsia="黑体" w:cs="Arial"/>
                <w:sz w:val="24"/>
              </w:rPr>
            </w:pP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rPr>
                <w:rFonts w:ascii="Arial" w:hAnsi="Arial" w:eastAsia="黑体" w:cs="Arial"/>
                <w:sz w:val="24"/>
              </w:rPr>
            </w:pPr>
            <w:r>
              <w:rPr>
                <w:rFonts w:ascii="Arial" w:hAnsi="Arial" w:eastAsia="黑体" w:cs="Arial"/>
                <w:sz w:val="24"/>
              </w:rPr>
              <w:t>传    真：</w:t>
            </w:r>
          </w:p>
        </w:tc>
        <w:tc>
          <w:tcPr>
            <w:tcW w:w="4927" w:type="dxa"/>
            <w:vAlign w:val="center"/>
          </w:tcPr>
          <w:p>
            <w:pPr>
              <w:spacing w:line="440" w:lineRule="exact"/>
              <w:rPr>
                <w:rFonts w:ascii="Arial" w:hAnsi="Arial" w:eastAsia="黑体" w:cs="Arial"/>
                <w:sz w:val="24"/>
              </w:rPr>
            </w:pPr>
            <w:r>
              <w:rPr>
                <w:rFonts w:ascii="Arial" w:hAnsi="Arial" w:eastAsia="黑体" w:cs="Arial"/>
                <w:sz w:val="24"/>
              </w:rPr>
              <w:t>开</w:t>
            </w:r>
            <w:r>
              <w:rPr>
                <w:rFonts w:hint="eastAsia" w:ascii="Arial" w:hAnsi="Arial" w:eastAsia="黑体" w:cs="Arial"/>
                <w:sz w:val="24"/>
              </w:rPr>
              <w:t xml:space="preserve"> </w:t>
            </w:r>
            <w:r>
              <w:rPr>
                <w:rFonts w:ascii="Arial" w:hAnsi="Arial" w:eastAsia="黑体" w:cs="Arial"/>
                <w:sz w:val="24"/>
              </w:rPr>
              <w:t>户</w:t>
            </w:r>
            <w:r>
              <w:rPr>
                <w:rFonts w:hint="eastAsia" w:ascii="Arial" w:hAnsi="Arial" w:eastAsia="黑体" w:cs="Arial"/>
                <w:sz w:val="24"/>
              </w:rPr>
              <w:t xml:space="preserve"> </w:t>
            </w:r>
            <w:r>
              <w:rPr>
                <w:rFonts w:ascii="Arial" w:hAnsi="Arial" w:eastAsia="黑体" w:cs="Arial"/>
                <w:sz w:val="24"/>
              </w:rPr>
              <w:t>行：</w:t>
            </w:r>
            <w:r>
              <w:rPr>
                <w:rFonts w:hint="eastAsia"/>
              </w:rPr>
              <w:drawing>
                <wp:inline distT="0" distB="0" distL="0" distR="0">
                  <wp:extent cx="1781810" cy="232410"/>
                  <wp:effectExtent l="0" t="0" r="889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srcRect/>
                          <a:stretch>
                            <a:fillRect/>
                          </a:stretch>
                        </pic:blipFill>
                        <pic:spPr>
                          <a:xfrm>
                            <a:off x="0" y="0"/>
                            <a:ext cx="1781810" cy="232410"/>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rPr>
                <w:rFonts w:ascii="Arial" w:hAnsi="Arial" w:eastAsia="黑体" w:cs="Arial"/>
                <w:sz w:val="24"/>
              </w:rPr>
            </w:pPr>
            <w:r>
              <w:rPr>
                <w:rFonts w:hint="eastAsia" w:ascii="Arial" w:hAnsi="Arial" w:eastAsia="黑体" w:cs="Arial"/>
                <w:sz w:val="24"/>
              </w:rPr>
              <w:t>E-mail：</w:t>
            </w:r>
          </w:p>
        </w:tc>
        <w:tc>
          <w:tcPr>
            <w:tcW w:w="4927" w:type="dxa"/>
            <w:vAlign w:val="center"/>
          </w:tcPr>
          <w:p>
            <w:pPr>
              <w:spacing w:line="440" w:lineRule="exact"/>
              <w:rPr>
                <w:rFonts w:ascii="Arial" w:hAnsi="Arial" w:eastAsia="黑体" w:cs="Arial"/>
                <w:sz w:val="24"/>
              </w:rPr>
            </w:pPr>
            <w:r>
              <w:rPr>
                <w:rFonts w:ascii="Arial" w:hAnsi="Arial" w:eastAsia="黑体" w:cs="Arial"/>
                <w:sz w:val="24"/>
              </w:rPr>
              <w:t>户    名：</w:t>
            </w:r>
            <w:r>
              <w:rPr>
                <w:rFonts w:hint="eastAsia" w:ascii="Arial" w:hAnsi="Arial" w:eastAsia="黑体" w:cs="Arial"/>
                <w:sz w:val="24"/>
              </w:rPr>
              <w:t>万里国际认证有限公司</w:t>
            </w: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rPr>
                <w:rFonts w:ascii="Arial" w:hAnsi="Arial" w:eastAsia="黑体" w:cs="Arial"/>
                <w:sz w:val="24"/>
              </w:rPr>
            </w:pPr>
            <w:r>
              <w:rPr>
                <w:rFonts w:ascii="Arial" w:hAnsi="Arial" w:eastAsia="黑体" w:cs="Arial"/>
                <w:sz w:val="24"/>
              </w:rPr>
              <w:t>开</w:t>
            </w:r>
            <w:r>
              <w:rPr>
                <w:rFonts w:hint="eastAsia" w:ascii="Arial" w:hAnsi="Arial" w:eastAsia="黑体" w:cs="Arial"/>
                <w:sz w:val="24"/>
              </w:rPr>
              <w:t xml:space="preserve"> </w:t>
            </w:r>
            <w:r>
              <w:rPr>
                <w:rFonts w:ascii="Arial" w:hAnsi="Arial" w:eastAsia="黑体" w:cs="Arial"/>
                <w:sz w:val="24"/>
              </w:rPr>
              <w:t>户</w:t>
            </w:r>
            <w:r>
              <w:rPr>
                <w:rFonts w:hint="eastAsia" w:ascii="Arial" w:hAnsi="Arial" w:eastAsia="黑体" w:cs="Arial"/>
                <w:sz w:val="24"/>
              </w:rPr>
              <w:t xml:space="preserve"> </w:t>
            </w:r>
            <w:r>
              <w:rPr>
                <w:rFonts w:ascii="Arial" w:hAnsi="Arial" w:eastAsia="黑体" w:cs="Arial"/>
                <w:sz w:val="24"/>
              </w:rPr>
              <w:t>行：</w:t>
            </w:r>
          </w:p>
        </w:tc>
        <w:tc>
          <w:tcPr>
            <w:tcW w:w="4927" w:type="dxa"/>
            <w:vAlign w:val="center"/>
          </w:tcPr>
          <w:p>
            <w:pPr>
              <w:spacing w:line="440" w:lineRule="exact"/>
              <w:rPr>
                <w:rFonts w:ascii="Arial" w:hAnsi="Arial" w:eastAsia="黑体" w:cs="Arial"/>
                <w:sz w:val="24"/>
              </w:rPr>
            </w:pPr>
            <w:r>
              <w:rPr>
                <w:rFonts w:ascii="Arial" w:hAnsi="Arial" w:eastAsia="黑体" w:cs="Arial"/>
                <w:sz w:val="24"/>
              </w:rPr>
              <w:t>帐    号：</w:t>
            </w:r>
            <w:r>
              <w:rPr>
                <w:rFonts w:hint="eastAsia"/>
                <w:b/>
                <w:sz w:val="24"/>
              </w:rPr>
              <w:t>9550 8802 0021 3600 123</w:t>
            </w: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rPr>
                <w:rFonts w:ascii="Arial" w:hAnsi="Arial" w:eastAsia="黑体" w:cs="Arial"/>
                <w:sz w:val="24"/>
              </w:rPr>
            </w:pPr>
            <w:r>
              <w:rPr>
                <w:rFonts w:ascii="Arial" w:hAnsi="Arial" w:eastAsia="黑体" w:cs="Arial"/>
                <w:sz w:val="24"/>
              </w:rPr>
              <w:t>户    名：</w:t>
            </w:r>
          </w:p>
        </w:tc>
        <w:tc>
          <w:tcPr>
            <w:tcW w:w="4927" w:type="dxa"/>
            <w:vAlign w:val="center"/>
          </w:tcPr>
          <w:p>
            <w:pPr>
              <w:spacing w:line="440" w:lineRule="exact"/>
              <w:rPr>
                <w:rFonts w:ascii="Arial" w:hAnsi="Arial" w:eastAsia="黑体" w:cs="Arial"/>
                <w:sz w:val="24"/>
              </w:rPr>
            </w:pPr>
            <w:r>
              <w:rPr>
                <w:rFonts w:ascii="Arial" w:hAnsi="Arial" w:eastAsia="黑体" w:cs="Arial"/>
                <w:sz w:val="24"/>
              </w:rPr>
              <w:t>通讯地址：</w:t>
            </w:r>
            <w:r>
              <w:rPr>
                <w:rFonts w:hint="eastAsia" w:ascii="Arial" w:hAnsi="Arial" w:eastAsia="黑体" w:cs="Arial"/>
                <w:sz w:val="24"/>
              </w:rPr>
              <w:t>山东省济南市高新区舜泰广场一号楼西塔6楼A3区-1</w:t>
            </w: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rPr>
                <w:rFonts w:ascii="Arial" w:hAnsi="Arial" w:eastAsia="黑体" w:cs="Arial"/>
                <w:sz w:val="24"/>
              </w:rPr>
            </w:pPr>
            <w:r>
              <w:rPr>
                <w:rFonts w:ascii="Arial" w:hAnsi="Arial" w:eastAsia="黑体" w:cs="Arial"/>
                <w:sz w:val="24"/>
              </w:rPr>
              <w:t>帐    号</w:t>
            </w:r>
          </w:p>
        </w:tc>
        <w:tc>
          <w:tcPr>
            <w:tcW w:w="4927" w:type="dxa"/>
            <w:vAlign w:val="center"/>
          </w:tcPr>
          <w:p>
            <w:pPr>
              <w:spacing w:line="440" w:lineRule="exact"/>
              <w:ind w:firstLine="1200" w:firstLineChars="500"/>
              <w:rPr>
                <w:rFonts w:ascii="Arial" w:hAnsi="Arial" w:eastAsia="黑体" w:cs="Arial"/>
                <w:sz w:val="24"/>
              </w:rPr>
            </w:pP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rPr>
                <w:rFonts w:ascii="Arial" w:hAnsi="Arial" w:eastAsia="黑体" w:cs="Arial"/>
                <w:sz w:val="24"/>
              </w:rPr>
            </w:pPr>
            <w:r>
              <w:rPr>
                <w:rFonts w:ascii="Arial" w:hAnsi="Arial" w:eastAsia="黑体" w:cs="Arial"/>
                <w:sz w:val="24"/>
              </w:rPr>
              <w:t>通讯地址：</w:t>
            </w:r>
          </w:p>
        </w:tc>
        <w:tc>
          <w:tcPr>
            <w:tcW w:w="4927" w:type="dxa"/>
            <w:vAlign w:val="center"/>
          </w:tcPr>
          <w:p>
            <w:pPr>
              <w:pStyle w:val="8"/>
              <w:widowControl/>
              <w:wordWrap w:val="0"/>
              <w:rPr>
                <w:rFonts w:ascii="Arial" w:hAnsi="Arial" w:eastAsia="黑体" w:cs="Arial"/>
              </w:rPr>
            </w:pPr>
            <w:r>
              <w:rPr>
                <w:rFonts w:ascii="Arial" w:hAnsi="Arial" w:eastAsia="黑体" w:cs="Arial"/>
              </w:rPr>
              <w:t>邮    编：</w:t>
            </w:r>
            <w:r>
              <w:rPr>
                <w:rFonts w:hint="eastAsia" w:ascii="Arial" w:hAnsi="Arial" w:eastAsia="黑体" w:cs="Arial"/>
              </w:rPr>
              <w:t>250101</w:t>
            </w:r>
          </w:p>
        </w:tc>
      </w:tr>
      <w:tr>
        <w:tblPrEx>
          <w:tblLayout w:type="fixed"/>
          <w:tblCellMar>
            <w:top w:w="0" w:type="dxa"/>
            <w:left w:w="108" w:type="dxa"/>
            <w:bottom w:w="0" w:type="dxa"/>
            <w:right w:w="108" w:type="dxa"/>
          </w:tblCellMar>
        </w:tblPrEx>
        <w:trPr>
          <w:trHeight w:val="435" w:hRule="atLeast"/>
          <w:jc w:val="center"/>
        </w:trPr>
        <w:tc>
          <w:tcPr>
            <w:tcW w:w="4926" w:type="dxa"/>
            <w:vAlign w:val="center"/>
          </w:tcPr>
          <w:p>
            <w:pPr>
              <w:spacing w:line="440" w:lineRule="exact"/>
              <w:rPr>
                <w:rFonts w:ascii="Arial" w:hAnsi="Arial" w:eastAsia="黑体" w:cs="Arial"/>
                <w:sz w:val="24"/>
              </w:rPr>
            </w:pPr>
            <w:r>
              <w:rPr>
                <w:rFonts w:ascii="Arial" w:hAnsi="Arial" w:eastAsia="黑体" w:cs="Arial"/>
                <w:sz w:val="24"/>
              </w:rPr>
              <w:t>邮    编：</w:t>
            </w:r>
          </w:p>
        </w:tc>
        <w:tc>
          <w:tcPr>
            <w:tcW w:w="4927" w:type="dxa"/>
            <w:vAlign w:val="center"/>
          </w:tcPr>
          <w:p>
            <w:pPr>
              <w:spacing w:line="440" w:lineRule="exact"/>
              <w:rPr>
                <w:rFonts w:ascii="Arial" w:hAnsi="Arial" w:eastAsia="黑体" w:cs="Arial"/>
                <w:sz w:val="24"/>
              </w:rPr>
            </w:pPr>
          </w:p>
        </w:tc>
      </w:tr>
    </w:tbl>
    <w:p>
      <w:pPr>
        <w:spacing w:before="78" w:beforeLines="25" w:after="156" w:afterLines="50"/>
        <w:rPr>
          <w:rFonts w:ascii="宋体" w:hAnsi="宋体"/>
          <w:b/>
          <w:sz w:val="24"/>
        </w:rPr>
      </w:pPr>
    </w:p>
    <w:sectPr>
      <w:pgSz w:w="11906" w:h="16838"/>
      <w:pgMar w:top="1418" w:right="851" w:bottom="851" w:left="1418"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b/>
      </w:rPr>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2</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b/>
        <w:szCs w:val="21"/>
      </w:rPr>
    </w:pPr>
    <w:r>
      <w:rPr>
        <w:rFonts w:ascii="微软雅黑" w:hAnsi="微软雅黑" w:eastAsia="微软雅黑" w:cs="微软雅黑"/>
        <w:b/>
        <w:color w:val="000000"/>
        <w:sz w:val="33"/>
        <w:szCs w:val="33"/>
        <w:shd w:val="clear" w:color="auto" w:fill="FFFFFF"/>
      </w:rPr>
      <w:drawing>
        <wp:anchor distT="0" distB="0" distL="114300" distR="114300" simplePos="0" relativeHeight="251665408" behindDoc="1" locked="0" layoutInCell="1" allowOverlap="1">
          <wp:simplePos x="0" y="0"/>
          <wp:positionH relativeFrom="column">
            <wp:posOffset>247650</wp:posOffset>
          </wp:positionH>
          <wp:positionV relativeFrom="paragraph">
            <wp:posOffset>-227965</wp:posOffset>
          </wp:positionV>
          <wp:extent cx="888365" cy="716915"/>
          <wp:effectExtent l="0" t="0" r="7620" b="7620"/>
          <wp:wrapNone/>
          <wp:docPr id="68" name="图片 68" descr="C:\Users\ADMINI~1\AppData\Local\Temp\WeChat Files\eae993aee1be9fa3c22620a5516a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C:\Users\ADMINI~1\AppData\Local\Temp\WeChat Files\eae993aee1be9fa3c22620a5516abe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88131" cy="716889"/>
                  </a:xfrm>
                  <a:prstGeom prst="rect">
                    <a:avLst/>
                  </a:prstGeom>
                  <a:noFill/>
                  <a:ln>
                    <a:noFill/>
                  </a:ln>
                </pic:spPr>
              </pic:pic>
            </a:graphicData>
          </a:graphic>
        </wp:anchor>
      </w:drawing>
    </w:r>
    <w:r>
      <w:rPr>
        <w:rFonts w:ascii="微软雅黑" w:hAnsi="微软雅黑" w:eastAsia="微软雅黑" w:cs="微软雅黑"/>
        <w:b/>
        <w:color w:val="000000"/>
        <w:sz w:val="33"/>
        <w:szCs w:val="33"/>
        <w:shd w:val="clear" w:color="auto" w:fill="FFFFFF"/>
      </w:rPr>
      <w:t>万里国际认证有限公司</w:t>
    </w:r>
    <w:r>
      <w:rPr>
        <w:rFonts w:asciiTheme="minorEastAsia" w:hAnsiTheme="minorEastAsia" w:eastAsiaTheme="minorEastAsia"/>
        <w:b/>
        <w:bCs/>
      </w:rPr>
      <w:t xml:space="preserve">    </w:t>
    </w:r>
    <w:r>
      <w:rPr>
        <w:rFonts w:hint="eastAsia" w:asciiTheme="minorEastAsia" w:hAnsiTheme="minorEastAsia" w:eastAsiaTheme="minorEastAsia"/>
        <w:b/>
        <w:bCs/>
      </w:rPr>
      <w:t>版本：01版</w:t>
    </w:r>
  </w:p>
  <w:p>
    <w:pPr>
      <w:pStyle w:val="6"/>
      <w:rPr>
        <w:rFonts w:hint="eastAsia" w:asciiTheme="minorEastAsia" w:hAnsiTheme="minorEastAsia" w:eastAsiaTheme="minorEastAsia"/>
        <w:b/>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b/>
        <w:szCs w:val="21"/>
      </w:rPr>
    </w:pPr>
    <w:r>
      <w:rPr>
        <w:rFonts w:ascii="微软雅黑" w:hAnsi="微软雅黑" w:eastAsia="微软雅黑" w:cs="微软雅黑"/>
        <w:b/>
        <w:color w:val="000000"/>
        <w:sz w:val="33"/>
        <w:szCs w:val="33"/>
        <w:shd w:val="clear" w:color="auto" w:fill="FFFFFF"/>
      </w:rPr>
      <w:drawing>
        <wp:anchor distT="0" distB="0" distL="114300" distR="114300" simplePos="0" relativeHeight="251657216" behindDoc="1" locked="0" layoutInCell="1" allowOverlap="1">
          <wp:simplePos x="0" y="0"/>
          <wp:positionH relativeFrom="column">
            <wp:posOffset>247650</wp:posOffset>
          </wp:positionH>
          <wp:positionV relativeFrom="paragraph">
            <wp:posOffset>-227965</wp:posOffset>
          </wp:positionV>
          <wp:extent cx="888365" cy="716915"/>
          <wp:effectExtent l="0" t="0" r="7620" b="7620"/>
          <wp:wrapNone/>
          <wp:docPr id="69" name="图片 69" descr="C:\Users\ADMINI~1\AppData\Local\Temp\WeChat Files\eae993aee1be9fa3c22620a5516a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C:\Users\ADMINI~1\AppData\Local\Temp\WeChat Files\eae993aee1be9fa3c22620a5516abe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88131" cy="716889"/>
                  </a:xfrm>
                  <a:prstGeom prst="rect">
                    <a:avLst/>
                  </a:prstGeom>
                  <a:noFill/>
                  <a:ln>
                    <a:noFill/>
                  </a:ln>
                </pic:spPr>
              </pic:pic>
            </a:graphicData>
          </a:graphic>
        </wp:anchor>
      </w:drawing>
    </w:r>
    <w:r>
      <w:rPr>
        <w:rFonts w:ascii="微软雅黑" w:hAnsi="微软雅黑" w:eastAsia="微软雅黑" w:cs="微软雅黑"/>
        <w:b/>
        <w:color w:val="000000"/>
        <w:sz w:val="33"/>
        <w:szCs w:val="33"/>
        <w:shd w:val="clear" w:color="auto" w:fill="FFFFFF"/>
      </w:rPr>
      <w:t>万里国际认证有限公司</w:t>
    </w:r>
    <w:r>
      <w:rPr>
        <w:rFonts w:asciiTheme="minorEastAsia" w:hAnsiTheme="minorEastAsia" w:eastAsiaTheme="minorEastAsia"/>
        <w:b/>
        <w:bCs/>
      </w:rPr>
      <w:t xml:space="preserve">    </w:t>
    </w:r>
    <w:r>
      <w:rPr>
        <w:rFonts w:hint="eastAsia" w:asciiTheme="minorEastAsia" w:hAnsiTheme="minorEastAsia" w:eastAsiaTheme="minorEastAsia"/>
        <w:b/>
        <w:bCs/>
      </w:rPr>
      <w:t>版本：01版</w:t>
    </w:r>
  </w:p>
  <w:p>
    <w:pPr>
      <w:pStyle w:val="6"/>
      <w:jc w:val="both"/>
      <w:rPr>
        <w:rFonts w:asciiTheme="minorEastAsia" w:hAnsiTheme="minorEastAsia" w:eastAsiaTheme="minorEastAs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BC8DD"/>
    <w:multiLevelType w:val="multilevel"/>
    <w:tmpl w:val="550BC8DD"/>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bullet"/>
      <w:lvlText w:val=""/>
      <w:lvlJc w:val="left"/>
      <w:pPr>
        <w:ind w:left="0" w:firstLine="1418"/>
      </w:pPr>
      <w:rPr>
        <w:rFonts w:hint="default" w:ascii="Symbol" w:hAnsi="Symbol"/>
        <w:b/>
        <w:i w:val="0"/>
        <w:color w:val="auto"/>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54AC67A"/>
    <w:multiLevelType w:val="multilevel"/>
    <w:tmpl w:val="554AC67A"/>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52"/>
    <w:rsid w:val="000344A6"/>
    <w:rsid w:val="000361D5"/>
    <w:rsid w:val="000467F8"/>
    <w:rsid w:val="00051788"/>
    <w:rsid w:val="00064E7A"/>
    <w:rsid w:val="000763F0"/>
    <w:rsid w:val="00080A4C"/>
    <w:rsid w:val="00081D1E"/>
    <w:rsid w:val="000835EF"/>
    <w:rsid w:val="000A34D5"/>
    <w:rsid w:val="000A4723"/>
    <w:rsid w:val="000D2711"/>
    <w:rsid w:val="000E0CF0"/>
    <w:rsid w:val="000E0DFA"/>
    <w:rsid w:val="000E46EE"/>
    <w:rsid w:val="00116B21"/>
    <w:rsid w:val="00144EE4"/>
    <w:rsid w:val="00146C2E"/>
    <w:rsid w:val="001645E9"/>
    <w:rsid w:val="00171884"/>
    <w:rsid w:val="001718CC"/>
    <w:rsid w:val="001A5AD4"/>
    <w:rsid w:val="001C2BC2"/>
    <w:rsid w:val="001D2DE6"/>
    <w:rsid w:val="001D2FAC"/>
    <w:rsid w:val="001E1FA9"/>
    <w:rsid w:val="00216A0A"/>
    <w:rsid w:val="00241C8F"/>
    <w:rsid w:val="00253F59"/>
    <w:rsid w:val="0026596F"/>
    <w:rsid w:val="00266250"/>
    <w:rsid w:val="00274952"/>
    <w:rsid w:val="002B1371"/>
    <w:rsid w:val="002B7938"/>
    <w:rsid w:val="002E40E1"/>
    <w:rsid w:val="002E499C"/>
    <w:rsid w:val="002E777F"/>
    <w:rsid w:val="002F6EA7"/>
    <w:rsid w:val="00332338"/>
    <w:rsid w:val="00345359"/>
    <w:rsid w:val="00361118"/>
    <w:rsid w:val="00367092"/>
    <w:rsid w:val="00392C56"/>
    <w:rsid w:val="003A526E"/>
    <w:rsid w:val="003B639B"/>
    <w:rsid w:val="003C479D"/>
    <w:rsid w:val="003D475B"/>
    <w:rsid w:val="003E5576"/>
    <w:rsid w:val="003F237E"/>
    <w:rsid w:val="003F578E"/>
    <w:rsid w:val="0040584C"/>
    <w:rsid w:val="00406FA8"/>
    <w:rsid w:val="00431FE6"/>
    <w:rsid w:val="004346DF"/>
    <w:rsid w:val="00444966"/>
    <w:rsid w:val="00467B41"/>
    <w:rsid w:val="00487B89"/>
    <w:rsid w:val="004A60CB"/>
    <w:rsid w:val="004D158C"/>
    <w:rsid w:val="004D5C93"/>
    <w:rsid w:val="004D63E3"/>
    <w:rsid w:val="004E46C1"/>
    <w:rsid w:val="004E4AB3"/>
    <w:rsid w:val="004E574D"/>
    <w:rsid w:val="005049DD"/>
    <w:rsid w:val="005227E9"/>
    <w:rsid w:val="00527E57"/>
    <w:rsid w:val="005308ED"/>
    <w:rsid w:val="00532AE2"/>
    <w:rsid w:val="00536131"/>
    <w:rsid w:val="005425CD"/>
    <w:rsid w:val="005561C1"/>
    <w:rsid w:val="00565049"/>
    <w:rsid w:val="005910C2"/>
    <w:rsid w:val="005C084E"/>
    <w:rsid w:val="005D28DC"/>
    <w:rsid w:val="005E7E2B"/>
    <w:rsid w:val="005F1210"/>
    <w:rsid w:val="006030FB"/>
    <w:rsid w:val="00606E96"/>
    <w:rsid w:val="00614336"/>
    <w:rsid w:val="00645332"/>
    <w:rsid w:val="006457ED"/>
    <w:rsid w:val="00646EE5"/>
    <w:rsid w:val="006A06BA"/>
    <w:rsid w:val="006A5C85"/>
    <w:rsid w:val="006F0BEF"/>
    <w:rsid w:val="006F5285"/>
    <w:rsid w:val="0070059B"/>
    <w:rsid w:val="00707E4F"/>
    <w:rsid w:val="00711E55"/>
    <w:rsid w:val="007178E9"/>
    <w:rsid w:val="00717E55"/>
    <w:rsid w:val="0073458E"/>
    <w:rsid w:val="007469FB"/>
    <w:rsid w:val="00786486"/>
    <w:rsid w:val="007A03FD"/>
    <w:rsid w:val="007B1A33"/>
    <w:rsid w:val="007B4157"/>
    <w:rsid w:val="007B5456"/>
    <w:rsid w:val="007C116B"/>
    <w:rsid w:val="007C1A3F"/>
    <w:rsid w:val="007C4397"/>
    <w:rsid w:val="007C7BA9"/>
    <w:rsid w:val="007E1200"/>
    <w:rsid w:val="007F05C0"/>
    <w:rsid w:val="00821EE7"/>
    <w:rsid w:val="008274B7"/>
    <w:rsid w:val="0084432F"/>
    <w:rsid w:val="00853C16"/>
    <w:rsid w:val="0085683F"/>
    <w:rsid w:val="00857E91"/>
    <w:rsid w:val="00860557"/>
    <w:rsid w:val="00860664"/>
    <w:rsid w:val="00865642"/>
    <w:rsid w:val="008821CB"/>
    <w:rsid w:val="00896275"/>
    <w:rsid w:val="008B377E"/>
    <w:rsid w:val="008B68A7"/>
    <w:rsid w:val="008C073F"/>
    <w:rsid w:val="008C32AB"/>
    <w:rsid w:val="008D4100"/>
    <w:rsid w:val="008E0F3D"/>
    <w:rsid w:val="008E6B45"/>
    <w:rsid w:val="008E6C2A"/>
    <w:rsid w:val="00981C77"/>
    <w:rsid w:val="009B4B3E"/>
    <w:rsid w:val="009C2F46"/>
    <w:rsid w:val="009D5994"/>
    <w:rsid w:val="009D70AF"/>
    <w:rsid w:val="009F7BBE"/>
    <w:rsid w:val="00A13E27"/>
    <w:rsid w:val="00A3581E"/>
    <w:rsid w:val="00A63AE7"/>
    <w:rsid w:val="00A66566"/>
    <w:rsid w:val="00A70798"/>
    <w:rsid w:val="00A863FF"/>
    <w:rsid w:val="00AA1C24"/>
    <w:rsid w:val="00AB30AE"/>
    <w:rsid w:val="00AB7501"/>
    <w:rsid w:val="00AC494B"/>
    <w:rsid w:val="00AD5DB5"/>
    <w:rsid w:val="00AF2230"/>
    <w:rsid w:val="00AF362E"/>
    <w:rsid w:val="00AF3CFE"/>
    <w:rsid w:val="00B53455"/>
    <w:rsid w:val="00B547AB"/>
    <w:rsid w:val="00B56389"/>
    <w:rsid w:val="00B67F4D"/>
    <w:rsid w:val="00B81419"/>
    <w:rsid w:val="00B83404"/>
    <w:rsid w:val="00B9455C"/>
    <w:rsid w:val="00BA6A18"/>
    <w:rsid w:val="00BB2E6E"/>
    <w:rsid w:val="00BC7212"/>
    <w:rsid w:val="00BE5951"/>
    <w:rsid w:val="00C10A81"/>
    <w:rsid w:val="00C11CE0"/>
    <w:rsid w:val="00C300DE"/>
    <w:rsid w:val="00C45A11"/>
    <w:rsid w:val="00C6088B"/>
    <w:rsid w:val="00C63754"/>
    <w:rsid w:val="00C6604E"/>
    <w:rsid w:val="00C66740"/>
    <w:rsid w:val="00C745C1"/>
    <w:rsid w:val="00C85D4D"/>
    <w:rsid w:val="00C93717"/>
    <w:rsid w:val="00CC15B3"/>
    <w:rsid w:val="00CC40E3"/>
    <w:rsid w:val="00CC719A"/>
    <w:rsid w:val="00D1410C"/>
    <w:rsid w:val="00D26633"/>
    <w:rsid w:val="00D30B42"/>
    <w:rsid w:val="00D43256"/>
    <w:rsid w:val="00D47A92"/>
    <w:rsid w:val="00D607D5"/>
    <w:rsid w:val="00D607E4"/>
    <w:rsid w:val="00D64EEE"/>
    <w:rsid w:val="00DA23F7"/>
    <w:rsid w:val="00DA514E"/>
    <w:rsid w:val="00DB21CF"/>
    <w:rsid w:val="00DB373D"/>
    <w:rsid w:val="00DC031C"/>
    <w:rsid w:val="00DD7F62"/>
    <w:rsid w:val="00DE059A"/>
    <w:rsid w:val="00DF02EB"/>
    <w:rsid w:val="00DF47EC"/>
    <w:rsid w:val="00E008F2"/>
    <w:rsid w:val="00E02C13"/>
    <w:rsid w:val="00E04736"/>
    <w:rsid w:val="00E31AAE"/>
    <w:rsid w:val="00E43231"/>
    <w:rsid w:val="00E4502C"/>
    <w:rsid w:val="00E7652B"/>
    <w:rsid w:val="00E76760"/>
    <w:rsid w:val="00E839A4"/>
    <w:rsid w:val="00E85ED7"/>
    <w:rsid w:val="00E94E77"/>
    <w:rsid w:val="00E97C52"/>
    <w:rsid w:val="00EB3F94"/>
    <w:rsid w:val="00EC4F4B"/>
    <w:rsid w:val="00EC5536"/>
    <w:rsid w:val="00ED2AC2"/>
    <w:rsid w:val="00ED7B19"/>
    <w:rsid w:val="00EE6740"/>
    <w:rsid w:val="00EF5D5D"/>
    <w:rsid w:val="00F00A08"/>
    <w:rsid w:val="00F06DA1"/>
    <w:rsid w:val="00F2251B"/>
    <w:rsid w:val="00F31C8A"/>
    <w:rsid w:val="00F33A4F"/>
    <w:rsid w:val="00F42920"/>
    <w:rsid w:val="00F42B68"/>
    <w:rsid w:val="00F452AF"/>
    <w:rsid w:val="00F47BC8"/>
    <w:rsid w:val="00F50772"/>
    <w:rsid w:val="00F85F32"/>
    <w:rsid w:val="00FB3D68"/>
    <w:rsid w:val="00FC71E7"/>
    <w:rsid w:val="00FD5417"/>
    <w:rsid w:val="00FF0457"/>
    <w:rsid w:val="00FF49EB"/>
    <w:rsid w:val="03920AB6"/>
    <w:rsid w:val="04351DC7"/>
    <w:rsid w:val="07710C6D"/>
    <w:rsid w:val="09700ECE"/>
    <w:rsid w:val="0B13299E"/>
    <w:rsid w:val="10243DF3"/>
    <w:rsid w:val="140C0C2B"/>
    <w:rsid w:val="1B7F05BF"/>
    <w:rsid w:val="23CF43D8"/>
    <w:rsid w:val="27D033C3"/>
    <w:rsid w:val="29097942"/>
    <w:rsid w:val="2A080995"/>
    <w:rsid w:val="2C39461F"/>
    <w:rsid w:val="477B76CD"/>
    <w:rsid w:val="5AEB3E9C"/>
    <w:rsid w:val="5C8D66BA"/>
    <w:rsid w:val="711F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21"/>
    <w:qFormat/>
    <w:uiPriority w:val="0"/>
    <w:pPr>
      <w:spacing w:line="360" w:lineRule="exact"/>
      <w:ind w:left="360"/>
    </w:pPr>
    <w:rPr>
      <w:sz w:val="22"/>
      <w:szCs w:val="20"/>
    </w:rPr>
  </w:style>
  <w:style w:type="paragraph" w:styleId="3">
    <w:name w:val="Body Text Indent 2"/>
    <w:basedOn w:val="1"/>
    <w:link w:val="20"/>
    <w:qFormat/>
    <w:uiPriority w:val="0"/>
    <w:pPr>
      <w:spacing w:line="360" w:lineRule="auto"/>
      <w:ind w:firstLine="7283" w:firstLineChars="1030"/>
    </w:pPr>
    <w:rPr>
      <w:rFonts w:ascii="黑体" w:eastAsia="黑体"/>
      <w:b/>
      <w:sz w:val="72"/>
      <w:szCs w:val="20"/>
    </w:rPr>
  </w:style>
  <w:style w:type="paragraph" w:styleId="4">
    <w:name w:val="Balloon Text"/>
    <w:basedOn w:val="1"/>
    <w:link w:val="17"/>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2"/>
    <w:qFormat/>
    <w:uiPriority w:val="0"/>
    <w:pPr>
      <w:spacing w:line="380" w:lineRule="exact"/>
      <w:ind w:firstLine="435"/>
    </w:pPr>
    <w:rPr>
      <w:rFonts w:eastAsia="黑体"/>
      <w:color w:val="000000"/>
      <w:szCs w:val="20"/>
    </w:rPr>
  </w:style>
  <w:style w:type="paragraph" w:styleId="8">
    <w:name w:val="Normal (Web)"/>
    <w:basedOn w:val="1"/>
    <w:qFormat/>
    <w:uiPriority w:val="0"/>
    <w:rPr>
      <w:sz w:val="24"/>
    </w:rPr>
  </w:style>
  <w:style w:type="character" w:styleId="11">
    <w:name w:val="page number"/>
    <w:basedOn w:val="10"/>
    <w:qFormat/>
    <w:uiPriority w:val="0"/>
  </w:style>
  <w:style w:type="character" w:styleId="12">
    <w:name w:val="FollowedHyperlink"/>
    <w:basedOn w:val="10"/>
    <w:qFormat/>
    <w:uiPriority w:val="0"/>
    <w:rPr>
      <w:color w:val="741274"/>
      <w:u w:val="single"/>
    </w:rPr>
  </w:style>
  <w:style w:type="character" w:styleId="13">
    <w:name w:val="Emphasis"/>
    <w:basedOn w:val="10"/>
    <w:qFormat/>
    <w:uiPriority w:val="0"/>
    <w:rPr>
      <w:color w:val="CC0000"/>
    </w:rPr>
  </w:style>
  <w:style w:type="character" w:styleId="14">
    <w:name w:val="Hyperlink"/>
    <w:qFormat/>
    <w:uiPriority w:val="0"/>
    <w:rPr>
      <w:color w:val="0000FF"/>
      <w:u w:val="single"/>
    </w:rPr>
  </w:style>
  <w:style w:type="character" w:styleId="15">
    <w:name w:val="HTML Cite"/>
    <w:basedOn w:val="10"/>
    <w:qFormat/>
    <w:uiPriority w:val="0"/>
    <w:rPr>
      <w:color w:val="008000"/>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批注框文本 字符"/>
    <w:link w:val="4"/>
    <w:qFormat/>
    <w:uiPriority w:val="0"/>
    <w:rPr>
      <w:kern w:val="2"/>
      <w:sz w:val="18"/>
      <w:szCs w:val="18"/>
    </w:rPr>
  </w:style>
  <w:style w:type="paragraph" w:customStyle="1" w:styleId="18">
    <w:name w:val="正文11"/>
    <w:qFormat/>
    <w:uiPriority w:val="0"/>
    <w:pPr>
      <w:jc w:val="both"/>
    </w:pPr>
    <w:rPr>
      <w:rFonts w:ascii="Times New Roman" w:hAnsi="Times New Roman" w:eastAsia="宋体" w:cs="Times New Roman"/>
      <w:kern w:val="2"/>
      <w:sz w:val="21"/>
      <w:szCs w:val="21"/>
      <w:lang w:val="en-US" w:eastAsia="zh-CN" w:bidi="ar-SA"/>
    </w:rPr>
  </w:style>
  <w:style w:type="character" w:customStyle="1" w:styleId="19">
    <w:name w:val="页脚 字符"/>
    <w:link w:val="5"/>
    <w:qFormat/>
    <w:uiPriority w:val="99"/>
    <w:rPr>
      <w:kern w:val="2"/>
      <w:sz w:val="18"/>
      <w:szCs w:val="18"/>
    </w:rPr>
  </w:style>
  <w:style w:type="character" w:customStyle="1" w:styleId="20">
    <w:name w:val="正文文本缩进 2 字符"/>
    <w:basedOn w:val="10"/>
    <w:link w:val="3"/>
    <w:qFormat/>
    <w:uiPriority w:val="0"/>
    <w:rPr>
      <w:rFonts w:ascii="黑体" w:eastAsia="黑体"/>
      <w:b/>
      <w:kern w:val="2"/>
      <w:sz w:val="72"/>
    </w:rPr>
  </w:style>
  <w:style w:type="character" w:customStyle="1" w:styleId="21">
    <w:name w:val="正文文本缩进 字符"/>
    <w:basedOn w:val="10"/>
    <w:link w:val="2"/>
    <w:qFormat/>
    <w:uiPriority w:val="0"/>
    <w:rPr>
      <w:kern w:val="2"/>
      <w:sz w:val="22"/>
    </w:rPr>
  </w:style>
  <w:style w:type="character" w:customStyle="1" w:styleId="22">
    <w:name w:val="正文文本缩进 3 字符"/>
    <w:basedOn w:val="10"/>
    <w:link w:val="7"/>
    <w:qFormat/>
    <w:uiPriority w:val="0"/>
    <w:rPr>
      <w:rFonts w:eastAsia="黑体"/>
      <w:color w:val="000000"/>
      <w:kern w:val="2"/>
      <w:sz w:val="21"/>
    </w:rPr>
  </w:style>
  <w:style w:type="character" w:customStyle="1" w:styleId="23">
    <w:name w:val="页眉 字符"/>
    <w:link w:val="6"/>
    <w:qFormat/>
    <w:uiPriority w:val="99"/>
    <w:rPr>
      <w:kern w:val="2"/>
      <w:sz w:val="18"/>
      <w:szCs w:val="18"/>
    </w:rPr>
  </w:style>
  <w:style w:type="paragraph" w:customStyle="1" w:styleId="24">
    <w:name w:val="列出段落1"/>
    <w:basedOn w:val="1"/>
    <w:qFormat/>
    <w:uiPriority w:val="34"/>
    <w:pPr>
      <w:ind w:firstLine="420" w:firstLineChars="200"/>
    </w:pPr>
  </w:style>
  <w:style w:type="paragraph" w:styleId="25">
    <w:name w:val="List Paragraph"/>
    <w:basedOn w:val="1"/>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page-cur"/>
    <w:basedOn w:val="10"/>
    <w:qFormat/>
    <w:uiPriority w:val="0"/>
    <w:rPr>
      <w:b/>
      <w:color w:val="333333"/>
      <w:bdr w:val="single" w:color="E5E5E5" w:sz="6" w:space="0"/>
      <w:shd w:val="clear" w:color="auto" w:fill="F2F2F2"/>
    </w:rPr>
  </w:style>
  <w:style w:type="character" w:customStyle="1" w:styleId="28">
    <w:name w:val="sugg-loading"/>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FE9B0-9817-4F23-A9F1-2C5E081B37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975</Words>
  <Characters>5564</Characters>
  <Lines>46</Lines>
  <Paragraphs>13</Paragraphs>
  <TotalTime>3</TotalTime>
  <ScaleCrop>false</ScaleCrop>
  <LinksUpToDate>false</LinksUpToDate>
  <CharactersWithSpaces>6526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2018-12-24T07:45:00Z</dcterms:created>
  <dc:creator>User</dc:creator>
  <cp:lastModifiedBy>轻舞飞扬</cp:lastModifiedBy>
  <dcterms:modified xsi:type="dcterms:W3CDTF">2019-09-25T03:40:44Z</dcterms:modified>
  <dc:title>合同编号：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